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32CEB">
      <w:pPr>
        <w:pStyle w:val="Corpodetexto2"/>
        <w:ind w:firstLine="567"/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Resolução da Diretoria Colegiada - RDC nº 79, de 18 de março de 2002.</w:t>
      </w:r>
    </w:p>
    <w:p w:rsidR="00000000" w:rsidRDefault="00232CEB">
      <w:pPr>
        <w:pStyle w:val="Corpodetexto2"/>
        <w:ind w:firstLine="567"/>
        <w:rPr>
          <w:sz w:val="20"/>
          <w:szCs w:val="20"/>
        </w:rPr>
      </w:pPr>
      <w:r>
        <w:rPr>
          <w:sz w:val="20"/>
          <w:szCs w:val="20"/>
        </w:rPr>
        <w:t>Publicada em 19 de març</w:t>
      </w:r>
      <w:r>
        <w:rPr>
          <w:sz w:val="20"/>
          <w:szCs w:val="20"/>
        </w:rPr>
        <w:t>o de 2002</w:t>
      </w:r>
    </w:p>
    <w:p w:rsidR="00000000" w:rsidRDefault="00232CEB">
      <w:pPr>
        <w:pStyle w:val="Corpodetexto2"/>
        <w:ind w:firstLine="567"/>
        <w:rPr>
          <w:sz w:val="20"/>
          <w:szCs w:val="20"/>
        </w:rPr>
      </w:pPr>
    </w:p>
    <w:p w:rsidR="00000000" w:rsidRDefault="00232CEB">
      <w:pPr>
        <w:pStyle w:val="Corpodetexto2"/>
        <w:ind w:firstLine="567"/>
        <w:rPr>
          <w:sz w:val="20"/>
          <w:szCs w:val="20"/>
        </w:rPr>
      </w:pPr>
      <w:r>
        <w:rPr>
          <w:b/>
          <w:bCs/>
          <w:sz w:val="20"/>
          <w:szCs w:val="20"/>
        </w:rPr>
        <w:t>Diretoria Colegiada da Agência Nacional de Vigilância Sanitária</w:t>
      </w:r>
      <w:r>
        <w:rPr>
          <w:sz w:val="20"/>
          <w:szCs w:val="20"/>
        </w:rPr>
        <w:t>, no uso da atribuição que lhe confere o art. 11 inciso IV do Regulamento da ANVISA aprovado pelo Decreto nº 3.029, de 16 de abril de 1999, c/c o § 1º do Art. 111 do Regimento Intern</w:t>
      </w:r>
      <w:r>
        <w:rPr>
          <w:sz w:val="20"/>
          <w:szCs w:val="20"/>
        </w:rPr>
        <w:t>o aprovado pela Portaria n.º 593, de 25 de agosto de 2000, republicada no DOU de 22 de dezembro de 2000, em reunião realizada em 13 de março de 2002,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necessidade de constante aperfeiçoamento das ações de controle sanitário na área de alimen</w:t>
      </w:r>
      <w:r>
        <w:rPr>
          <w:rFonts w:ascii="Arial" w:hAnsi="Arial" w:cs="Arial"/>
        </w:rPr>
        <w:t>tos, visando a proteção à saúde da população;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necessidade de segurança de uso tecnológico de aditivos alimentares na fabricação de alimentos;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o uso dos aditivos deve ser limitado a alimentos específicos, em condições espec</w:t>
      </w:r>
      <w:r>
        <w:rPr>
          <w:rFonts w:ascii="Arial" w:hAnsi="Arial" w:cs="Arial"/>
        </w:rPr>
        <w:t>íficas e ao menor nível para alcançar o efeito desejado;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as definições e funções de aditivo e coadjuvante de tecnologia devem seguir as contidas no “Regulamento Técnico: Aditivos Alimentares - definições, classificação e emprego”;</w:t>
      </w:r>
    </w:p>
    <w:p w:rsidR="00000000" w:rsidRDefault="00232CEB">
      <w:pPr>
        <w:pStyle w:val="Corpodetexto2"/>
        <w:ind w:firstLine="567"/>
        <w:rPr>
          <w:sz w:val="20"/>
          <w:szCs w:val="20"/>
        </w:rPr>
      </w:pPr>
    </w:p>
    <w:p w:rsidR="00000000" w:rsidRDefault="00232CEB">
      <w:pPr>
        <w:pStyle w:val="Corpodetexto2"/>
        <w:ind w:firstLine="567"/>
        <w:rPr>
          <w:sz w:val="20"/>
          <w:szCs w:val="20"/>
        </w:rPr>
      </w:pPr>
      <w:r>
        <w:rPr>
          <w:sz w:val="20"/>
          <w:szCs w:val="20"/>
        </w:rPr>
        <w:t>consid</w:t>
      </w:r>
      <w:r>
        <w:rPr>
          <w:sz w:val="20"/>
          <w:szCs w:val="20"/>
        </w:rPr>
        <w:t>erando que a substância em questão está permitida na legislação brasileira como coadjuvante de tecnologia na função de  lubrificante para adoçantes de mesa;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que a Leucina é um aminoácido essencial e que permanece no produto final, adoçante em</w:t>
      </w:r>
      <w:r>
        <w:rPr>
          <w:rFonts w:ascii="Arial" w:hAnsi="Arial" w:cs="Arial"/>
        </w:rPr>
        <w:t xml:space="preserve"> tablete;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adota a seguinte Resolução de Diretoria Colegiada e eu, Diretor-Presidente, determino a sua publicação:</w:t>
      </w:r>
    </w:p>
    <w:p w:rsidR="00000000" w:rsidRDefault="00232CEB">
      <w:pPr>
        <w:pStyle w:val="Corpodetexto2"/>
        <w:ind w:firstLine="567"/>
        <w:rPr>
          <w:sz w:val="20"/>
          <w:szCs w:val="20"/>
        </w:rPr>
      </w:pPr>
    </w:p>
    <w:p w:rsidR="00000000" w:rsidRDefault="00232CEB">
      <w:pPr>
        <w:pStyle w:val="Corpodetexto2"/>
        <w:ind w:firstLine="567"/>
        <w:rPr>
          <w:sz w:val="20"/>
          <w:szCs w:val="20"/>
        </w:rPr>
      </w:pPr>
      <w:r>
        <w:rPr>
          <w:sz w:val="20"/>
          <w:szCs w:val="20"/>
        </w:rPr>
        <w:t>Art. 1º Fica alterada a Portaria  SVS/MS n.º 39, de 13 de janeiro de 1998 para excluir a substância Leucina do Anexo “Coadjuvantes de Tecnol</w:t>
      </w:r>
      <w:r>
        <w:rPr>
          <w:sz w:val="20"/>
          <w:szCs w:val="20"/>
        </w:rPr>
        <w:t>ogia para Adoçantes em Tabletes “, acrescentando-a como “Veículo para Adoçantes em Tabletes”, como segue:</w:t>
      </w:r>
    </w:p>
    <w:p w:rsidR="00000000" w:rsidRDefault="00232CEB">
      <w:pPr>
        <w:jc w:val="both"/>
        <w:rPr>
          <w:rFonts w:ascii="Arial" w:hAnsi="Arial" w:cs="Arial"/>
        </w:rPr>
      </w:pPr>
    </w:p>
    <w:p w:rsidR="00000000" w:rsidRDefault="00232CEB">
      <w:pPr>
        <w:pStyle w:val="Ttulo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COADJUVANTES DE TECNOLOGIA PARA ADOÇANTES EM TABLETES</w:t>
      </w:r>
    </w:p>
    <w:p w:rsidR="00000000" w:rsidRDefault="00232CEB">
      <w:pPr>
        <w:jc w:val="both"/>
        <w:rPr>
          <w:rFonts w:ascii="Arial" w:hAnsi="Arial" w:cs="Arial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686" w:type="dxa"/>
          </w:tcPr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COADJUVANTE DE TECNOLOGIA</w:t>
            </w:r>
          </w:p>
        </w:tc>
        <w:tc>
          <w:tcPr>
            <w:tcW w:w="1417" w:type="dxa"/>
          </w:tcPr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</w:t>
            </w:r>
          </w:p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g/100g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Lubrificantes (somente para Tabletes)</w:t>
            </w:r>
          </w:p>
        </w:tc>
        <w:tc>
          <w:tcPr>
            <w:tcW w:w="3686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cido esteárico </w:t>
            </w:r>
          </w:p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Ácido esteárico (Alumínio/ Magnésio) </w:t>
            </w:r>
          </w:p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Ácido esteárico (Amônio)</w:t>
            </w:r>
          </w:p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Ácido esteárico (Cálcio/ Potássio) </w:t>
            </w:r>
          </w:p>
        </w:tc>
        <w:tc>
          <w:tcPr>
            <w:tcW w:w="1417" w:type="dxa"/>
          </w:tcPr>
          <w:p w:rsidR="00000000" w:rsidRDefault="00232CE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Quantum satis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01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Carboximetilcelulose de sódio </w:t>
            </w:r>
          </w:p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(croscaramelose de sódio, carboximetilcelulose de sódio com ligações cruzadas) </w:t>
            </w:r>
          </w:p>
        </w:tc>
        <w:tc>
          <w:tcPr>
            <w:tcW w:w="1417" w:type="dxa"/>
          </w:tcPr>
          <w:p w:rsidR="00000000" w:rsidRDefault="00232CE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Quantum satis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01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Talco </w:t>
            </w:r>
          </w:p>
        </w:tc>
        <w:tc>
          <w:tcPr>
            <w:tcW w:w="1417" w:type="dxa"/>
          </w:tcPr>
          <w:p w:rsidR="00000000" w:rsidRDefault="00232CE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Quantum satis</w:t>
            </w:r>
          </w:p>
        </w:tc>
      </w:tr>
    </w:tbl>
    <w:p w:rsidR="00000000" w:rsidRDefault="00232CEB">
      <w:pPr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</w:t>
            </w:r>
          </w:p>
        </w:tc>
        <w:tc>
          <w:tcPr>
            <w:tcW w:w="2409" w:type="dxa"/>
          </w:tcPr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 Máximo</w:t>
            </w:r>
          </w:p>
          <w:p w:rsidR="00000000" w:rsidRDefault="00232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g/100g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95" w:type="dxa"/>
          </w:tcPr>
          <w:p w:rsidR="00000000" w:rsidRDefault="00232C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Leucina</w:t>
            </w:r>
          </w:p>
        </w:tc>
        <w:tc>
          <w:tcPr>
            <w:tcW w:w="2409" w:type="dxa"/>
          </w:tcPr>
          <w:p w:rsidR="00000000" w:rsidRDefault="00232CE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quantum satis</w:t>
            </w:r>
          </w:p>
        </w:tc>
      </w:tr>
    </w:tbl>
    <w:p w:rsidR="00000000" w:rsidRDefault="00232CEB">
      <w:pPr>
        <w:jc w:val="both"/>
        <w:rPr>
          <w:rFonts w:ascii="Arial" w:hAnsi="Arial" w:cs="Arial"/>
        </w:rPr>
      </w:pPr>
    </w:p>
    <w:p w:rsidR="00000000" w:rsidRDefault="00232CEB">
      <w:pPr>
        <w:pStyle w:val="Corpodetexto2"/>
        <w:ind w:firstLine="567"/>
        <w:rPr>
          <w:sz w:val="20"/>
          <w:szCs w:val="20"/>
        </w:rPr>
      </w:pPr>
      <w:r>
        <w:rPr>
          <w:sz w:val="20"/>
          <w:szCs w:val="20"/>
        </w:rPr>
        <w:t>Art. 2º - O descumprimento desta Resolução constitui infração sanitária sujeitando os infratores às penalidades da Lei n.º 6.437, de 20 de agosto de 1977 e demais disposiçõ</w:t>
      </w:r>
      <w:r>
        <w:rPr>
          <w:sz w:val="20"/>
          <w:szCs w:val="20"/>
        </w:rPr>
        <w:t>es aplicáveis.</w:t>
      </w:r>
    </w:p>
    <w:p w:rsidR="00000000" w:rsidRDefault="00232CEB">
      <w:pPr>
        <w:ind w:firstLine="567"/>
        <w:jc w:val="both"/>
        <w:rPr>
          <w:rFonts w:ascii="Arial" w:hAnsi="Arial" w:cs="Arial"/>
        </w:rPr>
      </w:pPr>
    </w:p>
    <w:p w:rsidR="00000000" w:rsidRDefault="00232CE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- Esta Resolução de Diretoria Colegiada entra em vigor na data de sua publicação.</w:t>
      </w:r>
    </w:p>
    <w:p w:rsidR="00000000" w:rsidRDefault="00232CEB">
      <w:pPr>
        <w:pStyle w:val="Corpodetexto"/>
        <w:rPr>
          <w:sz w:val="20"/>
          <w:szCs w:val="20"/>
        </w:rPr>
      </w:pPr>
    </w:p>
    <w:p w:rsidR="00000000" w:rsidRDefault="00232CEB">
      <w:pPr>
        <w:pStyle w:val="Corpodetexto"/>
        <w:rPr>
          <w:sz w:val="20"/>
          <w:szCs w:val="20"/>
        </w:rPr>
      </w:pPr>
    </w:p>
    <w:p w:rsidR="00000000" w:rsidRDefault="00232CEB">
      <w:pPr>
        <w:pStyle w:val="Corpodetexto"/>
        <w:rPr>
          <w:sz w:val="20"/>
          <w:szCs w:val="20"/>
        </w:rPr>
      </w:pPr>
    </w:p>
    <w:p w:rsidR="00000000" w:rsidRDefault="00232CEB">
      <w:pPr>
        <w:pStyle w:val="Corpodetexto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##ASS GONZALO VECINA NETO</w:t>
      </w:r>
    </w:p>
    <w:sectPr w:rsidR="00000000">
      <w:pgSz w:w="11907" w:h="16840" w:code="9"/>
      <w:pgMar w:top="1134" w:right="1134" w:bottom="1134" w:left="1134" w:header="0" w:footer="0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32CEB"/>
    <w:rsid w:val="002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center"/>
    </w:pPr>
    <w:rPr>
      <w:rFonts w:ascii="Arial" w:hAnsi="Arial" w:cs="Arial"/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2127</Characters>
  <Application>Microsoft Office Word</Application>
  <DocSecurity>0</DocSecurity>
  <Lines>17</Lines>
  <Paragraphs>5</Paragraphs>
  <ScaleCrop>false</ScaleCrop>
  <Company>anvisa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NACIONAL DE VIGILÂNCIA SANITÁRIA</dc:title>
  <dc:subject/>
  <dc:creator>Claudio.Hermann</dc:creator>
  <cp:keywords/>
  <dc:description>ORIGEM:36688daTIPO:79daNUMERO:79daCORREIO:marcio.lisboa@anvisa.gov.br</dc:description>
  <cp:lastModifiedBy>Helder Lopes da Silva</cp:lastModifiedBy>
  <cp:revision>2</cp:revision>
  <cp:lastPrinted>2002-03-18T16:55:00Z</cp:lastPrinted>
  <dcterms:created xsi:type="dcterms:W3CDTF">2019-02-04T14:02:00Z</dcterms:created>
  <dcterms:modified xsi:type="dcterms:W3CDTF">2019-02-04T14:02:00Z</dcterms:modified>
</cp:coreProperties>
</file>