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EE107C" w:rsidRDefault="002E45A2" w:rsidP="002E45A2">
      <w:pPr>
        <w:jc w:val="center"/>
        <w:rPr>
          <w:rFonts w:ascii="Times New Roman" w:hAnsi="Times New Roman" w:cs="Times New Roman"/>
          <w:b/>
        </w:rPr>
      </w:pPr>
      <w:r w:rsidRPr="00EE107C">
        <w:rPr>
          <w:rFonts w:ascii="Times New Roman" w:hAnsi="Times New Roman" w:cs="Times New Roman"/>
          <w:b/>
        </w:rPr>
        <w:t>RESOLUÇÃO</w:t>
      </w:r>
      <w:r w:rsidR="00EE107C" w:rsidRPr="00EE107C">
        <w:rPr>
          <w:rFonts w:ascii="Times New Roman" w:hAnsi="Times New Roman" w:cs="Times New Roman"/>
          <w:b/>
        </w:rPr>
        <w:t xml:space="preserve"> DE DIRETORIA COLEGIADA</w:t>
      </w:r>
      <w:r w:rsidR="00082686" w:rsidRPr="00EE107C">
        <w:rPr>
          <w:rFonts w:ascii="Times New Roman" w:hAnsi="Times New Roman" w:cs="Times New Roman"/>
          <w:b/>
        </w:rPr>
        <w:t xml:space="preserve"> </w:t>
      </w:r>
      <w:r w:rsidRPr="00EE107C">
        <w:rPr>
          <w:rFonts w:ascii="Times New Roman" w:hAnsi="Times New Roman" w:cs="Times New Roman"/>
          <w:b/>
        </w:rPr>
        <w:t>– RDC Nº 80, DE 14 DE ABRIL DE 2003</w:t>
      </w:r>
    </w:p>
    <w:p w:rsidR="002E45A2" w:rsidRPr="00EE107C" w:rsidRDefault="002E45A2" w:rsidP="002E45A2">
      <w:pPr>
        <w:jc w:val="center"/>
        <w:rPr>
          <w:rFonts w:ascii="Times New Roman" w:hAnsi="Times New Roman" w:cs="Times New Roman"/>
          <w:b/>
          <w:color w:val="0000FF"/>
          <w:sz w:val="24"/>
          <w:szCs w:val="24"/>
        </w:rPr>
      </w:pPr>
      <w:r w:rsidRPr="00EE107C">
        <w:rPr>
          <w:rFonts w:ascii="Times New Roman" w:hAnsi="Times New Roman" w:cs="Times New Roman"/>
          <w:b/>
          <w:color w:val="0000FF"/>
          <w:sz w:val="24"/>
          <w:szCs w:val="24"/>
        </w:rPr>
        <w:t>(Publicada em DOU nº 73, de 15 de abril de 2003)</w:t>
      </w:r>
    </w:p>
    <w:p w:rsidR="00E94A2A" w:rsidRDefault="00E94A2A" w:rsidP="002E45A2">
      <w:pPr>
        <w:jc w:val="center"/>
        <w:rPr>
          <w:rFonts w:ascii="Times New Roman" w:hAnsi="Times New Roman" w:cs="Times New Roman"/>
          <w:b/>
          <w:color w:val="0000FF"/>
          <w:sz w:val="24"/>
          <w:szCs w:val="24"/>
        </w:rPr>
      </w:pPr>
      <w:r w:rsidRPr="00EE107C">
        <w:rPr>
          <w:rFonts w:ascii="Times New Roman" w:hAnsi="Times New Roman" w:cs="Times New Roman"/>
          <w:b/>
          <w:color w:val="0000FF"/>
          <w:sz w:val="24"/>
          <w:szCs w:val="24"/>
        </w:rPr>
        <w:t>(Revogada pela Resolução – RDC nº 300, de 1</w:t>
      </w:r>
      <w:r w:rsidR="009A1FF9">
        <w:rPr>
          <w:rFonts w:ascii="Times New Roman" w:hAnsi="Times New Roman" w:cs="Times New Roman"/>
          <w:b/>
          <w:color w:val="0000FF"/>
          <w:sz w:val="24"/>
          <w:szCs w:val="24"/>
        </w:rPr>
        <w:t>º</w:t>
      </w:r>
      <w:r w:rsidRPr="00EE107C">
        <w:rPr>
          <w:rFonts w:ascii="Times New Roman" w:hAnsi="Times New Roman" w:cs="Times New Roman"/>
          <w:b/>
          <w:color w:val="0000FF"/>
          <w:sz w:val="24"/>
          <w:szCs w:val="24"/>
        </w:rPr>
        <w:t xml:space="preserve"> de dezembro de 2004</w:t>
      </w:r>
      <w:proofErr w:type="gramStart"/>
      <w:r w:rsidRPr="00EE107C">
        <w:rPr>
          <w:rFonts w:ascii="Times New Roman" w:hAnsi="Times New Roman" w:cs="Times New Roman"/>
          <w:b/>
          <w:color w:val="0000FF"/>
          <w:sz w:val="24"/>
          <w:szCs w:val="24"/>
        </w:rPr>
        <w:t>)</w:t>
      </w:r>
      <w:proofErr w:type="gramEnd"/>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8A47BC" w:rsidRPr="00EE107C" w:rsidTr="0034072E">
        <w:trPr>
          <w:tblCellSpacing w:w="0" w:type="dxa"/>
        </w:trPr>
        <w:tc>
          <w:tcPr>
            <w:tcW w:w="2500" w:type="pct"/>
            <w:vAlign w:val="center"/>
            <w:hideMark/>
          </w:tcPr>
          <w:p w:rsidR="008A47BC" w:rsidRPr="00EE107C" w:rsidRDefault="008A47BC" w:rsidP="0034072E">
            <w:pPr>
              <w:spacing w:after="0" w:line="240" w:lineRule="auto"/>
              <w:rPr>
                <w:rFonts w:ascii="Times New Roman" w:eastAsia="Times New Roman" w:hAnsi="Times New Roman" w:cs="Times New Roman"/>
                <w:strike/>
                <w:sz w:val="24"/>
                <w:szCs w:val="24"/>
                <w:lang w:eastAsia="pt-BR"/>
              </w:rPr>
            </w:pPr>
            <w:r w:rsidRPr="00EE107C">
              <w:rPr>
                <w:rFonts w:ascii="Times New Roman" w:eastAsia="Times New Roman" w:hAnsi="Times New Roman" w:cs="Times New Roman"/>
                <w:strike/>
                <w:sz w:val="24"/>
                <w:szCs w:val="24"/>
                <w:lang w:eastAsia="pt-BR"/>
              </w:rPr>
              <w:t> </w:t>
            </w:r>
          </w:p>
        </w:tc>
        <w:tc>
          <w:tcPr>
            <w:tcW w:w="2500" w:type="pct"/>
            <w:vAlign w:val="center"/>
            <w:hideMark/>
          </w:tcPr>
          <w:p w:rsidR="00026967" w:rsidRPr="00BC5F25" w:rsidRDefault="008A47BC" w:rsidP="0034072E">
            <w:pPr>
              <w:spacing w:after="0" w:line="240" w:lineRule="auto"/>
              <w:jc w:val="both"/>
              <w:rPr>
                <w:rFonts w:ascii="Times New Roman" w:hAnsi="Times New Roman" w:cs="Times New Roman"/>
                <w:strike/>
                <w:sz w:val="24"/>
                <w:szCs w:val="24"/>
              </w:rPr>
            </w:pPr>
            <w:r w:rsidRPr="00EE107C">
              <w:rPr>
                <w:rFonts w:ascii="Times New Roman" w:hAnsi="Times New Roman" w:cs="Times New Roman"/>
                <w:strike/>
                <w:sz w:val="24"/>
                <w:szCs w:val="24"/>
              </w:rPr>
              <w:t>Dispõe sobre alteração na capacidade das embalagens metálicas do produto palmito em conserva</w:t>
            </w:r>
          </w:p>
        </w:tc>
      </w:tr>
    </w:tbl>
    <w:p w:rsidR="008A47BC" w:rsidRPr="00EE107C" w:rsidRDefault="008A47BC" w:rsidP="008A47BC">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A </w:t>
      </w:r>
      <w:r w:rsidRPr="00EE107C">
        <w:rPr>
          <w:rFonts w:ascii="Times New Roman" w:hAnsi="Times New Roman" w:cs="Times New Roman"/>
          <w:b/>
          <w:strike/>
          <w:sz w:val="24"/>
          <w:szCs w:val="24"/>
        </w:rPr>
        <w:t>Diretoria Colegiada da Agência Nacional de Vigilância Sanitária</w:t>
      </w:r>
      <w:r w:rsidRPr="00EE107C">
        <w:rPr>
          <w:rFonts w:ascii="Times New Roman" w:hAnsi="Times New Roman" w:cs="Times New Roman"/>
          <w:strike/>
          <w:sz w:val="24"/>
          <w:szCs w:val="24"/>
        </w:rPr>
        <w:t xml:space="preserve"> no uso de sua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em </w:t>
      </w:r>
      <w:proofErr w:type="gramStart"/>
      <w:r w:rsidRPr="00EE107C">
        <w:rPr>
          <w:rFonts w:ascii="Times New Roman" w:hAnsi="Times New Roman" w:cs="Times New Roman"/>
          <w:strike/>
          <w:sz w:val="24"/>
          <w:szCs w:val="24"/>
        </w:rPr>
        <w:t>9</w:t>
      </w:r>
      <w:proofErr w:type="gramEnd"/>
      <w:r w:rsidRPr="00EE107C">
        <w:rPr>
          <w:rFonts w:ascii="Times New Roman" w:hAnsi="Times New Roman" w:cs="Times New Roman"/>
          <w:strike/>
          <w:sz w:val="24"/>
          <w:szCs w:val="24"/>
        </w:rPr>
        <w:t xml:space="preserve"> de abril de 2003. </w:t>
      </w:r>
    </w:p>
    <w:p w:rsidR="008A47BC" w:rsidRPr="00EE107C" w:rsidRDefault="008A47BC" w:rsidP="008A47BC">
      <w:pPr>
        <w:spacing w:before="300" w:after="300" w:line="240" w:lineRule="auto"/>
        <w:ind w:firstLine="573"/>
        <w:jc w:val="both"/>
        <w:rPr>
          <w:rFonts w:ascii="Times New Roman" w:hAnsi="Times New Roman" w:cs="Times New Roman"/>
          <w:strike/>
          <w:sz w:val="24"/>
          <w:szCs w:val="24"/>
        </w:rPr>
      </w:pPr>
      <w:proofErr w:type="gramStart"/>
      <w:r w:rsidRPr="00EE107C">
        <w:rPr>
          <w:rFonts w:ascii="Times New Roman" w:hAnsi="Times New Roman" w:cs="Times New Roman"/>
          <w:strike/>
          <w:sz w:val="24"/>
          <w:szCs w:val="24"/>
        </w:rPr>
        <w:t>considerando</w:t>
      </w:r>
      <w:proofErr w:type="gramEnd"/>
      <w:r w:rsidRPr="00EE107C">
        <w:rPr>
          <w:rFonts w:ascii="Times New Roman" w:hAnsi="Times New Roman" w:cs="Times New Roman"/>
          <w:strike/>
          <w:sz w:val="24"/>
          <w:szCs w:val="24"/>
        </w:rPr>
        <w:t xml:space="preserve"> a necessidade de constante aperfeiçoamento das ações de controle sanitário na área de alimentos visando a proteção à saúde da população; </w:t>
      </w:r>
    </w:p>
    <w:p w:rsidR="008A47BC" w:rsidRPr="00EE107C" w:rsidRDefault="008A47BC" w:rsidP="008A47BC">
      <w:pPr>
        <w:spacing w:before="300" w:after="300" w:line="240" w:lineRule="auto"/>
        <w:ind w:firstLine="573"/>
        <w:jc w:val="both"/>
        <w:rPr>
          <w:rFonts w:ascii="Times New Roman" w:hAnsi="Times New Roman" w:cs="Times New Roman"/>
          <w:strike/>
          <w:sz w:val="24"/>
          <w:szCs w:val="24"/>
        </w:rPr>
      </w:pPr>
      <w:proofErr w:type="gramStart"/>
      <w:r w:rsidRPr="00EE107C">
        <w:rPr>
          <w:rFonts w:ascii="Times New Roman" w:hAnsi="Times New Roman" w:cs="Times New Roman"/>
          <w:strike/>
          <w:sz w:val="24"/>
          <w:szCs w:val="24"/>
        </w:rPr>
        <w:t>considerando</w:t>
      </w:r>
      <w:proofErr w:type="gramEnd"/>
      <w:r w:rsidRPr="00EE107C">
        <w:rPr>
          <w:rFonts w:ascii="Times New Roman" w:hAnsi="Times New Roman" w:cs="Times New Roman"/>
          <w:strike/>
          <w:sz w:val="24"/>
          <w:szCs w:val="24"/>
        </w:rPr>
        <w:t xml:space="preserve"> o subitem 4.2.8 da Resolução - RDC ANVISA n° 17, de 19 de novembro de 1999 que prevê alterações nas capacidades das embalagens de vidro ou metálicas para acondicionar o palmito em conserva, diferentes das aprovadas, desde que comprovadas as viabilidades técnicas, por meio de estudos científicos, </w:t>
      </w:r>
    </w:p>
    <w:p w:rsidR="008A47BC" w:rsidRPr="00EE107C" w:rsidRDefault="008A47BC" w:rsidP="008A47BC">
      <w:pPr>
        <w:spacing w:before="300" w:after="300" w:line="240" w:lineRule="auto"/>
        <w:ind w:firstLine="573"/>
        <w:jc w:val="both"/>
        <w:rPr>
          <w:rFonts w:ascii="Times New Roman" w:hAnsi="Times New Roman" w:cs="Times New Roman"/>
          <w:strike/>
          <w:sz w:val="24"/>
          <w:szCs w:val="24"/>
        </w:rPr>
      </w:pPr>
      <w:proofErr w:type="gramStart"/>
      <w:r w:rsidRPr="00EE107C">
        <w:rPr>
          <w:rFonts w:ascii="Times New Roman" w:hAnsi="Times New Roman" w:cs="Times New Roman"/>
          <w:strike/>
          <w:sz w:val="24"/>
          <w:szCs w:val="24"/>
        </w:rPr>
        <w:t>adota</w:t>
      </w:r>
      <w:proofErr w:type="gramEnd"/>
      <w:r w:rsidRPr="00EE107C">
        <w:rPr>
          <w:rFonts w:ascii="Times New Roman" w:hAnsi="Times New Roman" w:cs="Times New Roman"/>
          <w:strike/>
          <w:sz w:val="24"/>
          <w:szCs w:val="24"/>
        </w:rPr>
        <w:t xml:space="preserve"> a seguinte Resolução de Diretoria Colegiada e eu, Diretor-Presidente Substituto, determino a sua publicação: </w:t>
      </w:r>
    </w:p>
    <w:p w:rsidR="00971655" w:rsidRPr="00EE107C" w:rsidRDefault="008A47BC" w:rsidP="008A47BC">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Art. 1º Alterar o subitem 4.2.8 da </w:t>
      </w:r>
      <w:proofErr w:type="gramStart"/>
      <w:r w:rsidRPr="00EE107C">
        <w:rPr>
          <w:rFonts w:ascii="Times New Roman" w:hAnsi="Times New Roman" w:cs="Times New Roman"/>
          <w:strike/>
          <w:sz w:val="24"/>
          <w:szCs w:val="24"/>
        </w:rPr>
        <w:t>Resolução -RDC</w:t>
      </w:r>
      <w:proofErr w:type="gramEnd"/>
      <w:r w:rsidRPr="00EE107C">
        <w:rPr>
          <w:rFonts w:ascii="Times New Roman" w:hAnsi="Times New Roman" w:cs="Times New Roman"/>
          <w:strike/>
          <w:sz w:val="24"/>
          <w:szCs w:val="24"/>
        </w:rPr>
        <w:t xml:space="preserve"> ANVISA n° 17, de 19 de novembro de 1999, publicada no DOU em 22 de novembro de 1999, que passa a vigorar com a seguinte redação: </w:t>
      </w:r>
    </w:p>
    <w:p w:rsidR="008A47BC" w:rsidRPr="00EE107C" w:rsidRDefault="008A47BC" w:rsidP="008A47BC">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4.2.8 Vácuo: as embalagens de vidro ou metálicas devem atender os critérios estabelecidos na tabela. Podem ser utilizadas embalagens de vidro ou metálicas diferentes das apresentadas desde que comprovem por meio de estudos científicos a viabilidade técnica e sejam aprovadas pela autoridade competente. </w:t>
      </w:r>
    </w:p>
    <w:p w:rsidR="008A47BC" w:rsidRPr="0034072E" w:rsidRDefault="008A47BC" w:rsidP="008A47BC">
      <w:pPr>
        <w:spacing w:before="300" w:after="300" w:line="240" w:lineRule="auto"/>
        <w:ind w:firstLine="573"/>
        <w:jc w:val="both"/>
        <w:rPr>
          <w:rFonts w:ascii="Times New Roman" w:hAnsi="Times New Roman" w:cs="Times New Roman"/>
          <w:b/>
          <w:strike/>
          <w:sz w:val="24"/>
          <w:szCs w:val="24"/>
        </w:rPr>
      </w:pPr>
      <w:bookmarkStart w:id="0" w:name="_GoBack"/>
      <w:r w:rsidRPr="0034072E">
        <w:rPr>
          <w:rFonts w:ascii="Times New Roman" w:hAnsi="Times New Roman" w:cs="Times New Roman"/>
          <w:b/>
          <w:strike/>
          <w:sz w:val="24"/>
          <w:szCs w:val="24"/>
        </w:rPr>
        <w:t>TABELA</w:t>
      </w:r>
    </w:p>
    <w:tbl>
      <w:tblPr>
        <w:tblStyle w:val="Tabelacomgrade"/>
        <w:tblW w:w="10490" w:type="dxa"/>
        <w:tblInd w:w="-743" w:type="dxa"/>
        <w:tblLook w:val="04A0" w:firstRow="1" w:lastRow="0" w:firstColumn="1" w:lastColumn="0" w:noHBand="0" w:noVBand="1"/>
      </w:tblPr>
      <w:tblGrid>
        <w:gridCol w:w="2694"/>
        <w:gridCol w:w="4678"/>
        <w:gridCol w:w="3118"/>
      </w:tblGrid>
      <w:tr w:rsidR="008111AC" w:rsidRPr="00026967" w:rsidTr="005C0E5C">
        <w:trPr>
          <w:trHeight w:val="20"/>
        </w:trPr>
        <w:tc>
          <w:tcPr>
            <w:tcW w:w="2694" w:type="dxa"/>
          </w:tcPr>
          <w:bookmarkEnd w:id="0"/>
          <w:p w:rsidR="008111AC" w:rsidRPr="00026967" w:rsidRDefault="008111AC" w:rsidP="008111AC">
            <w:pPr>
              <w:spacing w:before="300" w:after="300"/>
              <w:contextualSpacing/>
              <w:jc w:val="center"/>
              <w:rPr>
                <w:rFonts w:ascii="Times New Roman" w:hAnsi="Times New Roman" w:cs="Times New Roman"/>
                <w:strike/>
              </w:rPr>
            </w:pPr>
            <w:r w:rsidRPr="00026967">
              <w:rPr>
                <w:rFonts w:ascii="Times New Roman" w:hAnsi="Times New Roman" w:cs="Times New Roman"/>
                <w:strike/>
              </w:rPr>
              <w:t>TIPO DE EMBALAGEM</w:t>
            </w:r>
          </w:p>
        </w:tc>
        <w:tc>
          <w:tcPr>
            <w:tcW w:w="4678" w:type="dxa"/>
          </w:tcPr>
          <w:p w:rsidR="008111AC" w:rsidRPr="00026967" w:rsidRDefault="008111AC" w:rsidP="008111AC">
            <w:pPr>
              <w:spacing w:before="300" w:after="300"/>
              <w:contextualSpacing/>
              <w:jc w:val="center"/>
              <w:rPr>
                <w:rFonts w:ascii="Times New Roman" w:hAnsi="Times New Roman" w:cs="Times New Roman"/>
                <w:strike/>
              </w:rPr>
            </w:pPr>
            <w:r w:rsidRPr="00026967">
              <w:rPr>
                <w:rFonts w:ascii="Times New Roman" w:hAnsi="Times New Roman" w:cs="Times New Roman"/>
                <w:strike/>
              </w:rPr>
              <w:t>CAPACIDADE</w:t>
            </w:r>
          </w:p>
        </w:tc>
        <w:tc>
          <w:tcPr>
            <w:tcW w:w="3118" w:type="dxa"/>
          </w:tcPr>
          <w:p w:rsidR="008111AC" w:rsidRPr="00026967" w:rsidRDefault="008111AC" w:rsidP="008111AC">
            <w:pPr>
              <w:spacing w:before="300" w:after="300"/>
              <w:contextualSpacing/>
              <w:jc w:val="center"/>
              <w:rPr>
                <w:rFonts w:ascii="Times New Roman" w:hAnsi="Times New Roman" w:cs="Times New Roman"/>
                <w:strike/>
              </w:rPr>
            </w:pPr>
            <w:r w:rsidRPr="00026967">
              <w:rPr>
                <w:rFonts w:ascii="Times New Roman" w:hAnsi="Times New Roman" w:cs="Times New Roman"/>
                <w:strike/>
              </w:rPr>
              <w:t>VALOR MÍNIMO DE VÁCUO</w:t>
            </w:r>
          </w:p>
        </w:tc>
      </w:tr>
      <w:tr w:rsidR="0034072E" w:rsidRPr="00026967" w:rsidTr="005C0E5C">
        <w:trPr>
          <w:trHeight w:val="20"/>
        </w:trPr>
        <w:tc>
          <w:tcPr>
            <w:tcW w:w="2694" w:type="dxa"/>
            <w:vMerge w:val="restart"/>
          </w:tcPr>
          <w:p w:rsidR="0034072E" w:rsidRPr="00026967" w:rsidRDefault="0034072E" w:rsidP="008111AC">
            <w:pPr>
              <w:spacing w:before="300" w:after="300"/>
              <w:contextualSpacing/>
              <w:jc w:val="center"/>
              <w:rPr>
                <w:rFonts w:ascii="Times New Roman" w:hAnsi="Times New Roman" w:cs="Times New Roman"/>
                <w:strike/>
              </w:rPr>
            </w:pPr>
            <w:r w:rsidRPr="00026967">
              <w:rPr>
                <w:rFonts w:ascii="Times New Roman" w:hAnsi="Times New Roman" w:cs="Times New Roman"/>
                <w:strike/>
              </w:rPr>
              <w:t>METÁLICA</w:t>
            </w:r>
          </w:p>
        </w:tc>
        <w:tc>
          <w:tcPr>
            <w:tcW w:w="467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0,5 Kg até 1 Kg</w:t>
            </w:r>
          </w:p>
        </w:tc>
        <w:tc>
          <w:tcPr>
            <w:tcW w:w="311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 xml:space="preserve">254 </w:t>
            </w:r>
            <w:proofErr w:type="gramStart"/>
            <w:r w:rsidRPr="00026967">
              <w:rPr>
                <w:rFonts w:ascii="Times New Roman" w:hAnsi="Times New Roman" w:cs="Times New Roman"/>
                <w:strike/>
              </w:rPr>
              <w:t>mmHg</w:t>
            </w:r>
            <w:proofErr w:type="gramEnd"/>
          </w:p>
        </w:tc>
      </w:tr>
      <w:tr w:rsidR="0034072E" w:rsidRPr="00026967" w:rsidTr="005C0E5C">
        <w:trPr>
          <w:trHeight w:val="20"/>
        </w:trPr>
        <w:tc>
          <w:tcPr>
            <w:tcW w:w="2694" w:type="dxa"/>
            <w:vMerge/>
          </w:tcPr>
          <w:p w:rsidR="0034072E" w:rsidRPr="00026967" w:rsidRDefault="0034072E" w:rsidP="008111AC">
            <w:pPr>
              <w:spacing w:before="300" w:after="300"/>
              <w:contextualSpacing/>
              <w:jc w:val="center"/>
              <w:rPr>
                <w:rFonts w:ascii="Times New Roman" w:hAnsi="Times New Roman" w:cs="Times New Roman"/>
                <w:strike/>
              </w:rPr>
            </w:pPr>
          </w:p>
        </w:tc>
        <w:tc>
          <w:tcPr>
            <w:tcW w:w="4678" w:type="dxa"/>
          </w:tcPr>
          <w:p w:rsidR="0034072E" w:rsidRPr="00026967" w:rsidRDefault="0034072E" w:rsidP="0034072E">
            <w:pPr>
              <w:spacing w:before="300" w:after="300"/>
              <w:contextualSpacing/>
              <w:jc w:val="center"/>
              <w:rPr>
                <w:rFonts w:ascii="Times New Roman" w:hAnsi="Times New Roman" w:cs="Times New Roman"/>
                <w:strike/>
              </w:rPr>
            </w:pPr>
            <w:proofErr w:type="gramStart"/>
            <w:r w:rsidRPr="00026967">
              <w:rPr>
                <w:rFonts w:ascii="Times New Roman" w:hAnsi="Times New Roman" w:cs="Times New Roman"/>
                <w:strike/>
              </w:rPr>
              <w:t>3Kg</w:t>
            </w:r>
            <w:proofErr w:type="gramEnd"/>
          </w:p>
        </w:tc>
        <w:tc>
          <w:tcPr>
            <w:tcW w:w="311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 xml:space="preserve">180 </w:t>
            </w:r>
            <w:proofErr w:type="gramStart"/>
            <w:r w:rsidRPr="00026967">
              <w:rPr>
                <w:rFonts w:ascii="Times New Roman" w:hAnsi="Times New Roman" w:cs="Times New Roman"/>
                <w:strike/>
              </w:rPr>
              <w:t>mmHg</w:t>
            </w:r>
            <w:proofErr w:type="gramEnd"/>
          </w:p>
        </w:tc>
      </w:tr>
      <w:tr w:rsidR="0034072E" w:rsidRPr="00026967" w:rsidTr="005C0E5C">
        <w:trPr>
          <w:trHeight w:val="20"/>
        </w:trPr>
        <w:tc>
          <w:tcPr>
            <w:tcW w:w="2694" w:type="dxa"/>
            <w:vMerge w:val="restart"/>
          </w:tcPr>
          <w:p w:rsidR="0034072E" w:rsidRPr="00026967" w:rsidRDefault="0034072E" w:rsidP="008111AC">
            <w:pPr>
              <w:spacing w:before="300" w:after="300"/>
              <w:contextualSpacing/>
              <w:jc w:val="center"/>
              <w:rPr>
                <w:rFonts w:ascii="Times New Roman" w:hAnsi="Times New Roman" w:cs="Times New Roman"/>
                <w:strike/>
              </w:rPr>
            </w:pPr>
            <w:r w:rsidRPr="00026967">
              <w:rPr>
                <w:rFonts w:ascii="Times New Roman" w:hAnsi="Times New Roman" w:cs="Times New Roman"/>
                <w:strike/>
              </w:rPr>
              <w:t>VIDRO</w:t>
            </w:r>
          </w:p>
        </w:tc>
        <w:tc>
          <w:tcPr>
            <w:tcW w:w="467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Até 600 ml</w:t>
            </w:r>
          </w:p>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Fechamento com tampa metálica tipo garra-torção</w:t>
            </w:r>
          </w:p>
        </w:tc>
        <w:tc>
          <w:tcPr>
            <w:tcW w:w="311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 xml:space="preserve">380 </w:t>
            </w:r>
            <w:proofErr w:type="gramStart"/>
            <w:r w:rsidRPr="00026967">
              <w:rPr>
                <w:rFonts w:ascii="Times New Roman" w:hAnsi="Times New Roman" w:cs="Times New Roman"/>
                <w:strike/>
              </w:rPr>
              <w:t>mmHg</w:t>
            </w:r>
            <w:proofErr w:type="gramEnd"/>
          </w:p>
        </w:tc>
      </w:tr>
      <w:tr w:rsidR="0034072E" w:rsidRPr="00026967" w:rsidTr="005C0E5C">
        <w:trPr>
          <w:trHeight w:val="20"/>
        </w:trPr>
        <w:tc>
          <w:tcPr>
            <w:tcW w:w="2694" w:type="dxa"/>
            <w:vMerge/>
          </w:tcPr>
          <w:p w:rsidR="0034072E" w:rsidRPr="00026967" w:rsidRDefault="0034072E" w:rsidP="008111AC">
            <w:pPr>
              <w:spacing w:before="300" w:after="300"/>
              <w:contextualSpacing/>
              <w:jc w:val="center"/>
              <w:rPr>
                <w:rFonts w:ascii="Times New Roman" w:hAnsi="Times New Roman" w:cs="Times New Roman"/>
                <w:strike/>
              </w:rPr>
            </w:pPr>
          </w:p>
        </w:tc>
        <w:tc>
          <w:tcPr>
            <w:tcW w:w="467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Até 600 ml</w:t>
            </w:r>
          </w:p>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Fechamento com tampa metálica tipo abre-fácil</w:t>
            </w:r>
          </w:p>
        </w:tc>
        <w:tc>
          <w:tcPr>
            <w:tcW w:w="311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 xml:space="preserve">508 </w:t>
            </w:r>
            <w:proofErr w:type="gramStart"/>
            <w:r w:rsidRPr="00026967">
              <w:rPr>
                <w:rFonts w:ascii="Times New Roman" w:hAnsi="Times New Roman" w:cs="Times New Roman"/>
                <w:strike/>
              </w:rPr>
              <w:t>mmHg</w:t>
            </w:r>
            <w:proofErr w:type="gramEnd"/>
          </w:p>
        </w:tc>
      </w:tr>
      <w:tr w:rsidR="0034072E" w:rsidRPr="00026967" w:rsidTr="005C0E5C">
        <w:trPr>
          <w:trHeight w:val="20"/>
        </w:trPr>
        <w:tc>
          <w:tcPr>
            <w:tcW w:w="2694" w:type="dxa"/>
            <w:vMerge/>
          </w:tcPr>
          <w:p w:rsidR="0034072E" w:rsidRPr="00026967" w:rsidRDefault="0034072E" w:rsidP="008111AC">
            <w:pPr>
              <w:spacing w:before="300" w:after="300"/>
              <w:contextualSpacing/>
              <w:jc w:val="center"/>
              <w:rPr>
                <w:rFonts w:ascii="Times New Roman" w:hAnsi="Times New Roman" w:cs="Times New Roman"/>
                <w:strike/>
              </w:rPr>
            </w:pPr>
          </w:p>
        </w:tc>
        <w:tc>
          <w:tcPr>
            <w:tcW w:w="4678" w:type="dxa"/>
          </w:tcPr>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2350 ml e 3250 ml</w:t>
            </w:r>
          </w:p>
          <w:p w:rsidR="0034072E" w:rsidRPr="00026967" w:rsidRDefault="0034072E" w:rsidP="0034072E">
            <w:pPr>
              <w:spacing w:before="300" w:after="300"/>
              <w:contextualSpacing/>
              <w:jc w:val="center"/>
              <w:rPr>
                <w:rFonts w:ascii="Times New Roman" w:hAnsi="Times New Roman" w:cs="Times New Roman"/>
                <w:strike/>
              </w:rPr>
            </w:pPr>
            <w:r w:rsidRPr="00026967">
              <w:rPr>
                <w:rFonts w:ascii="Times New Roman" w:hAnsi="Times New Roman" w:cs="Times New Roman"/>
                <w:strike/>
              </w:rPr>
              <w:t>Fechamento com tampa metálica</w:t>
            </w:r>
          </w:p>
        </w:tc>
        <w:tc>
          <w:tcPr>
            <w:tcW w:w="3118" w:type="dxa"/>
          </w:tcPr>
          <w:p w:rsidR="0034072E" w:rsidRPr="00026967" w:rsidRDefault="0034072E" w:rsidP="008111AC">
            <w:pPr>
              <w:spacing w:before="300" w:after="300"/>
              <w:contextualSpacing/>
              <w:jc w:val="center"/>
              <w:rPr>
                <w:rFonts w:ascii="Times New Roman" w:hAnsi="Times New Roman" w:cs="Times New Roman"/>
                <w:strike/>
              </w:rPr>
            </w:pPr>
            <w:r w:rsidRPr="00026967">
              <w:rPr>
                <w:rFonts w:ascii="Times New Roman" w:hAnsi="Times New Roman" w:cs="Times New Roman"/>
                <w:strike/>
              </w:rPr>
              <w:t xml:space="preserve">559 </w:t>
            </w:r>
            <w:proofErr w:type="gramStart"/>
            <w:r w:rsidRPr="00026967">
              <w:rPr>
                <w:rFonts w:ascii="Times New Roman" w:hAnsi="Times New Roman" w:cs="Times New Roman"/>
                <w:strike/>
              </w:rPr>
              <w:t>mmHg</w:t>
            </w:r>
            <w:proofErr w:type="gramEnd"/>
          </w:p>
        </w:tc>
      </w:tr>
    </w:tbl>
    <w:p w:rsidR="008B3772" w:rsidRPr="00EE107C" w:rsidRDefault="008B3772" w:rsidP="008B3772">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Art. 2º O descumprimento aos termos desta Resolução constitui infração sanitária sujeita aos dispositivos da Lei n.º 6.437, de 20 de agosto de 1977 e demais disposições aplicáveis. </w:t>
      </w:r>
    </w:p>
    <w:p w:rsidR="008B3772" w:rsidRPr="00EE107C" w:rsidRDefault="008B3772" w:rsidP="008B3772">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Art. 3° Fica revogada a Resolução - RDC ANVS n° 52 de </w:t>
      </w:r>
      <w:proofErr w:type="gramStart"/>
      <w:r w:rsidRPr="00EE107C">
        <w:rPr>
          <w:rFonts w:ascii="Times New Roman" w:hAnsi="Times New Roman" w:cs="Times New Roman"/>
          <w:strike/>
          <w:sz w:val="24"/>
          <w:szCs w:val="24"/>
        </w:rPr>
        <w:t>5</w:t>
      </w:r>
      <w:proofErr w:type="gramEnd"/>
      <w:r w:rsidRPr="00EE107C">
        <w:rPr>
          <w:rFonts w:ascii="Times New Roman" w:hAnsi="Times New Roman" w:cs="Times New Roman"/>
          <w:strike/>
          <w:sz w:val="24"/>
          <w:szCs w:val="24"/>
        </w:rPr>
        <w:t xml:space="preserve"> de junho de 2000, publicada no DOU em 07 de junho de 2000. </w:t>
      </w:r>
    </w:p>
    <w:p w:rsidR="008B3772" w:rsidRPr="00EE107C" w:rsidRDefault="008B3772" w:rsidP="008B3772">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Art. 4° Ficam mantidos os demais itens da Resolução - RDC ANVISA n° 17, de 19 de novembro de 1999, publicada no DOU em 22 de novembro de 1999. </w:t>
      </w:r>
    </w:p>
    <w:p w:rsidR="008B3772" w:rsidRDefault="008B3772" w:rsidP="008B3772">
      <w:pPr>
        <w:spacing w:before="300" w:after="300" w:line="240" w:lineRule="auto"/>
        <w:ind w:firstLine="573"/>
        <w:jc w:val="both"/>
        <w:rPr>
          <w:rFonts w:ascii="Times New Roman" w:hAnsi="Times New Roman" w:cs="Times New Roman"/>
          <w:strike/>
          <w:sz w:val="24"/>
          <w:szCs w:val="24"/>
        </w:rPr>
      </w:pPr>
      <w:r w:rsidRPr="00EE107C">
        <w:rPr>
          <w:rFonts w:ascii="Times New Roman" w:hAnsi="Times New Roman" w:cs="Times New Roman"/>
          <w:strike/>
          <w:sz w:val="24"/>
          <w:szCs w:val="24"/>
        </w:rPr>
        <w:t xml:space="preserve">Art. 5º Esta Resolução entrará em vigor na data de sua publicação. </w:t>
      </w:r>
    </w:p>
    <w:p w:rsidR="002341AD" w:rsidRPr="00EE107C" w:rsidRDefault="002341AD" w:rsidP="008B3772">
      <w:pPr>
        <w:spacing w:before="300" w:after="300" w:line="240" w:lineRule="auto"/>
        <w:ind w:firstLine="573"/>
        <w:jc w:val="both"/>
        <w:rPr>
          <w:rFonts w:ascii="Times New Roman" w:hAnsi="Times New Roman" w:cs="Times New Roman"/>
          <w:strike/>
          <w:sz w:val="24"/>
          <w:szCs w:val="24"/>
        </w:rPr>
      </w:pPr>
    </w:p>
    <w:p w:rsidR="008111AC" w:rsidRPr="002341AD" w:rsidRDefault="008B3772" w:rsidP="008B3772">
      <w:pPr>
        <w:spacing w:before="300" w:after="300" w:line="240" w:lineRule="auto"/>
        <w:ind w:firstLine="573"/>
        <w:jc w:val="center"/>
        <w:rPr>
          <w:rFonts w:ascii="Times New Roman" w:hAnsi="Times New Roman" w:cs="Times New Roman"/>
          <w:b/>
          <w:strike/>
          <w:sz w:val="24"/>
          <w:szCs w:val="24"/>
        </w:rPr>
      </w:pPr>
      <w:r w:rsidRPr="002341AD">
        <w:rPr>
          <w:rFonts w:ascii="Times New Roman" w:hAnsi="Times New Roman" w:cs="Times New Roman"/>
          <w:b/>
          <w:strike/>
          <w:sz w:val="24"/>
          <w:szCs w:val="24"/>
        </w:rPr>
        <w:t>CLAUDIO MAIEROVITCH PESSANHA HENRIQUES</w:t>
      </w:r>
    </w:p>
    <w:sectPr w:rsidR="008111AC" w:rsidRPr="002341AD" w:rsidSect="00457FD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F25" w:rsidRDefault="00BC5F25" w:rsidP="00BC5F25">
      <w:pPr>
        <w:spacing w:after="0" w:line="240" w:lineRule="auto"/>
      </w:pPr>
      <w:r>
        <w:separator/>
      </w:r>
    </w:p>
  </w:endnote>
  <w:endnote w:type="continuationSeparator" w:id="0">
    <w:p w:rsidR="00BC5F25" w:rsidRDefault="00BC5F25" w:rsidP="00BC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F25" w:rsidRPr="008A0471" w:rsidRDefault="00BC5F25" w:rsidP="00BC5F2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C5F25" w:rsidRDefault="00BC5F2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F25" w:rsidRDefault="00BC5F25" w:rsidP="00BC5F25">
      <w:pPr>
        <w:spacing w:after="0" w:line="240" w:lineRule="auto"/>
      </w:pPr>
      <w:r>
        <w:separator/>
      </w:r>
    </w:p>
  </w:footnote>
  <w:footnote w:type="continuationSeparator" w:id="0">
    <w:p w:rsidR="00BC5F25" w:rsidRDefault="00BC5F25" w:rsidP="00BC5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F25" w:rsidRPr="00B517AC" w:rsidRDefault="00BC5F25" w:rsidP="00BC5F2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8FD243E" wp14:editId="726425C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C5F25" w:rsidRPr="00B517AC" w:rsidRDefault="00BC5F25" w:rsidP="00BC5F2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C5F25" w:rsidRPr="00B517AC" w:rsidRDefault="00BC5F25" w:rsidP="00BC5F2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C5F25" w:rsidRDefault="00BC5F2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45A2"/>
    <w:rsid w:val="00026967"/>
    <w:rsid w:val="00082686"/>
    <w:rsid w:val="001B36C6"/>
    <w:rsid w:val="001E708B"/>
    <w:rsid w:val="002341AD"/>
    <w:rsid w:val="002A4DEB"/>
    <w:rsid w:val="002E45A2"/>
    <w:rsid w:val="0034072E"/>
    <w:rsid w:val="00457FDB"/>
    <w:rsid w:val="00525B6D"/>
    <w:rsid w:val="00525F34"/>
    <w:rsid w:val="00564634"/>
    <w:rsid w:val="005C0E5C"/>
    <w:rsid w:val="007441BF"/>
    <w:rsid w:val="00786686"/>
    <w:rsid w:val="008111AC"/>
    <w:rsid w:val="008A47BC"/>
    <w:rsid w:val="008B3772"/>
    <w:rsid w:val="00971655"/>
    <w:rsid w:val="009A1FF9"/>
    <w:rsid w:val="00A4445B"/>
    <w:rsid w:val="00B30817"/>
    <w:rsid w:val="00BC5F25"/>
    <w:rsid w:val="00D621E1"/>
    <w:rsid w:val="00DD03A8"/>
    <w:rsid w:val="00E94A2A"/>
    <w:rsid w:val="00EE1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111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C5F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5F25"/>
  </w:style>
  <w:style w:type="paragraph" w:styleId="Rodap">
    <w:name w:val="footer"/>
    <w:basedOn w:val="Normal"/>
    <w:link w:val="RodapChar"/>
    <w:uiPriority w:val="99"/>
    <w:unhideWhenUsed/>
    <w:rsid w:val="00BC5F25"/>
    <w:pPr>
      <w:tabs>
        <w:tab w:val="center" w:pos="4252"/>
        <w:tab w:val="right" w:pos="8504"/>
      </w:tabs>
      <w:spacing w:after="0" w:line="240" w:lineRule="auto"/>
    </w:pPr>
  </w:style>
  <w:style w:type="character" w:customStyle="1" w:styleId="RodapChar">
    <w:name w:val="Rodapé Char"/>
    <w:basedOn w:val="Fontepargpadro"/>
    <w:link w:val="Rodap"/>
    <w:uiPriority w:val="99"/>
    <w:rsid w:val="00BC5F25"/>
  </w:style>
  <w:style w:type="paragraph" w:styleId="Textodebalo">
    <w:name w:val="Balloon Text"/>
    <w:basedOn w:val="Normal"/>
    <w:link w:val="TextodebaloChar"/>
    <w:uiPriority w:val="99"/>
    <w:semiHidden/>
    <w:unhideWhenUsed/>
    <w:rsid w:val="00BC5F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5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111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820179-7C41-49B5-AEC2-11BD97510A50}"/>
</file>

<file path=customXml/itemProps2.xml><?xml version="1.0" encoding="utf-8"?>
<ds:datastoreItem xmlns:ds="http://schemas.openxmlformats.org/officeDocument/2006/customXml" ds:itemID="{4BDA9F6F-7977-4C76-9228-4706842152B8}"/>
</file>

<file path=customXml/itemProps3.xml><?xml version="1.0" encoding="utf-8"?>
<ds:datastoreItem xmlns:ds="http://schemas.openxmlformats.org/officeDocument/2006/customXml" ds:itemID="{32C79D70-D503-49FB-9EF7-9B3CDF21B5A0}"/>
</file>

<file path=docProps/app.xml><?xml version="1.0" encoding="utf-8"?>
<Properties xmlns="http://schemas.openxmlformats.org/officeDocument/2006/extended-properties" xmlns:vt="http://schemas.openxmlformats.org/officeDocument/2006/docPropsVTypes">
  <Template>Normal</Template>
  <TotalTime>39</TotalTime>
  <Pages>2</Pages>
  <Words>409</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13</cp:revision>
  <dcterms:created xsi:type="dcterms:W3CDTF">2015-12-30T17:37:00Z</dcterms:created>
  <dcterms:modified xsi:type="dcterms:W3CDTF">2016-08-23T18:55:00Z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