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72A93" w:rsidRDefault="004571D1" w:rsidP="004571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A93">
        <w:rPr>
          <w:rFonts w:ascii="Times New Roman" w:hAnsi="Times New Roman" w:cs="Times New Roman"/>
          <w:b/>
          <w:sz w:val="24"/>
          <w:szCs w:val="24"/>
        </w:rPr>
        <w:t xml:space="preserve">RESOLUÇÃO – RE Nº 1.170, DE 19 DE ABRIL DE </w:t>
      </w:r>
      <w:proofErr w:type="gramStart"/>
      <w:r w:rsidRPr="00272A93">
        <w:rPr>
          <w:rFonts w:ascii="Times New Roman" w:hAnsi="Times New Roman" w:cs="Times New Roman"/>
          <w:b/>
          <w:sz w:val="24"/>
          <w:szCs w:val="24"/>
        </w:rPr>
        <w:t>2006</w:t>
      </w:r>
      <w:proofErr w:type="gramEnd"/>
    </w:p>
    <w:p w:rsidR="004571D1" w:rsidRPr="00272A93" w:rsidRDefault="004571D1" w:rsidP="004571D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2A9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77, de 24 de abril de 2006</w:t>
      </w:r>
      <w:proofErr w:type="gramStart"/>
      <w:r w:rsidRPr="00272A9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B02CF" w:rsidRPr="00272A93" w:rsidRDefault="000B02CF" w:rsidP="000B02CF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O </w:t>
      </w:r>
      <w:r w:rsidRPr="00272A93">
        <w:rPr>
          <w:rFonts w:ascii="Times New Roman" w:hAnsi="Times New Roman" w:cs="Times New Roman"/>
          <w:b/>
          <w:sz w:val="24"/>
          <w:szCs w:val="24"/>
        </w:rPr>
        <w:t>Diretor-Presidente Substituto da Agência Nacional de Vigilância Sanitária</w:t>
      </w:r>
      <w:r w:rsidRPr="00272A93">
        <w:rPr>
          <w:rFonts w:ascii="Times New Roman" w:hAnsi="Times New Roman" w:cs="Times New Roman"/>
          <w:sz w:val="24"/>
          <w:szCs w:val="24"/>
        </w:rPr>
        <w:t xml:space="preserve">, no uso da atribuição que lhe confere a Portaria GM/MS n° 1497, de 1º de setembro de 2005, e tendo em vista o disposto no art. 13, inciso XI do Decreto n° 3.029, de 16 de abril de 1999;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2A9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o disposto no art. 111, inciso II, alínea "a" § 3º do Regimento Interno, aprovado pela Portaria nº 593, de 25 de agosto de 2000, republicada no DOU de 22 de dezembro de 2000,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2A9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o disposto no art.111, inciso II, alínea “a” § 3º do Regimento Interno, aprovado pela Portaria nº 593, de 25 de agosto de 2000, republicada no DOU de 22 de dezembro de 2000,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2A9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que a matéria foi submetida à apreciação da Diretoria Colegiada que a aprovou em reunião realizada em 10 de abril de 2006, resolve: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Art. 1º - Determinar a publicação do GUIA PARA PROVAS DE BIODISPONIBILIDADE RELATIVA/BIOEQUIVALÊNCIA DE MEDICAMENTOS, anexo.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Art. 2º - Fica revogada a Resolução RE nº 397, de 12 de novembro de 2004.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Art. 3º - Esta Resolução entra em vigor na data de sua publicação. </w:t>
      </w:r>
    </w:p>
    <w:p w:rsidR="000B02CF" w:rsidRPr="00272A93" w:rsidRDefault="000B02CF" w:rsidP="000B02C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>FRANKLIN RUBINSTEIN</w:t>
      </w:r>
    </w:p>
    <w:p w:rsidR="000B02CF" w:rsidRPr="00272A93" w:rsidRDefault="000B02CF" w:rsidP="000B02C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02CF" w:rsidRPr="00272A93" w:rsidRDefault="000B02CF" w:rsidP="000B02C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A93">
        <w:rPr>
          <w:rFonts w:ascii="Times New Roman" w:hAnsi="Times New Roman" w:cs="Times New Roman"/>
          <w:b/>
          <w:sz w:val="24"/>
          <w:szCs w:val="24"/>
        </w:rPr>
        <w:t>ANEXO</w:t>
      </w:r>
    </w:p>
    <w:p w:rsidR="000B02CF" w:rsidRPr="00272A93" w:rsidRDefault="000B02CF" w:rsidP="000B02C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A93">
        <w:rPr>
          <w:rFonts w:ascii="Times New Roman" w:hAnsi="Times New Roman" w:cs="Times New Roman"/>
          <w:b/>
          <w:sz w:val="24"/>
          <w:szCs w:val="24"/>
        </w:rPr>
        <w:t>GUIA PARA PROVAS DE BIODISPONIBILIDADE RELATIVA/BIOEQUIVALÊNCIA DE MEDICAMENTOS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Os estudos de biodisponibilidade relativa/bioequivalência deverão contemplar três etapas: clínica, analítica e estatística, e devem ser planejados e apresentados conforme o GUIA PARA ELABORAÇÃO DE PROTOCOLO DE ESTUDO DE BIODISPONIBILIDADE RELATIVA/ BIOEQUIVALÊNCIA e o GUIA PARA ELABORAÇÃO DE RELATÓRIO TÉCNICO DE ESTUDO DE BIODISPONIBILIDADE RELATIVA/ BIOEQUIVALÊNCIA, respectivamente.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1. Etapa clínica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a) os medicamentos teste e referência a serem submetidos ao estudo de biodisponibilidade relativa/bioequivalência deverão, inicialmente, ser analisados segundo sua monografia inscrita na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Brasileira e, na falta desta, em outros códigos autorizados pela legislação vigente, seguindo o GUIA PARA REALIZAÇÃO DO ESTUDO E ELABORAÇÃO DO RELATÓRIO DE EQUIVALÊNCIA FARMACÊUTICA E PERFIL DE DISSOLUÇÃO. A diferença de teor do fármaco entre os medicamentos teste e referência não deve ser superior a 5% (cinco por cento);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b) o estudo é realizado por meio da quantificação do fármaco e/ou do metabólito ativo na circulação (sangue, plasma ou soro) ou através de sua quantificação na urina, quando justificado. Alternativamente, o estudo poderá ser realizado comparando medidas farmacodinâmicas;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lastRenderedPageBreak/>
        <w:t xml:space="preserve">c) estudos que envolvem medida de efeito farmacodinâmico são indicados nos casos em que não é possível quantificar o fármaco na circulação de forma precisa e exata, pois a concentração do mesmo é muita baixa (por exemplo: suspensões oftálmicas, inalatórios de ação local,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d) em geral, a bioequivalência deve ser baseada no fármaco inalterado. A não quantificação do fármaco inalterado só será aceita nos casos em que sua concentração não puder ser adequadamente determinada por limitações analíticas ou devido à rápida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biotransformação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. Nesses casos, uma justificativa científica apropriada para ausência dos dados do fármaco inalterado deve ser enviada. Quando houver metabólito ativo (equipotente ou mais ativo que o inalterado), formado por metabolismo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-sistêmico, que contribua para a eficácia e segurança do produto e não haja informações na literatura científica, ou esta indique a necessidade da quantificação do fármaco inalterado e do metabólito, o protocolo de estudo poderá ser submetido para avaliação prévia da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. No protocolo deverá ser definido em qual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analito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a bioequivalência será estabelecida, observando as recomendações da Lista 2 -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Analito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para Estabelecimento da Biodisponibilidade Relativa/Bioequivalência (acessível no portal da ANVISA). A substância escolhida para esse fim deverá cumprir os critérios estabelecidos para determinação da bioequivalência;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e) o estudo convencional é do tipo aberto, aleatório, cruzado. Os voluntários recebem os medicamentos teste e referência em ocasiões separadas (períodos), em esquema de dose simples ou múltipla. Pode ser utilizado desenho paralelo, quando se fizer necessário;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f) os medicamentos devem ser administrados aos voluntários com volume de líquido padronizado (geralmente 200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de água);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g) o número de períodos e de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seqüências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do estudo será determinado em função do número de medicamentos em análise, de forma a assegurar a validade estatística, conforme GUIA PARA PLANEJAMENTO E REALIZAÇÃO DA ETAPA ESTATÍSTICA DE ESTUDOS DE BIODISPONIBILIDADE RELATIVA/BIOEQUIVALÊNCIA. O intervalo entre os períodos deverá ser de, no mínimo, sete meias-vidas de eliminação do fármaco e/ou metabólito;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h) o cronograma de coleta das amostras deverá garantir a adequada caracterização do perfil plasmático do fármaco ou metabólito (concentração versus tempo), contemplando um tempo igual ou superior a 3-5 vezes a meia-vida de eliminação dos mesmos;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i) no caso de produtos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transdérmicos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e formas farmacêuticas de depósito (“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”), o tempo e a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de coletas devem ser suficientes para caracterizar adequadamente a absorção, distribuição e eliminação do fármaco;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>j) o número de voluntários deverá sempre assegurar poder estatístico suficiente para garantir a confiabilidade dos resultados do estudo de bioequivalência. O número de voluntários pode ser calculado por meio do coeficiente de variação e poder do teste (ver GUIA PARA PLANEJAMENTO E REALIZAÇÃO DA ETAPA ESTATÍSTICA DE ESTUDOS DE BIODISPONIBILIDADE RELATIVA/ BIOEQUIVALÊNCIA), não sendo permitida utilização de número inferior a 12. Na falta de dados relativos ao coeficiente de variação do fármaco, o pesquisador responsável pelo estudo pode optar por utilizar um número mínimo de 24 voluntários. O protocolo do estudo deve estabelecer número suficiente de voluntários prevendo possíveis "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dropouts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k) de acordo com o medicamento, os estudos poderão ser conduzidos em voluntários com idade superior a 18 anos e capazes de fornecer seu consentimento livre e esclarecido, do sexo masculino, feminino ou ambos, sendo que neste último caso, recomenda-se que o número de homens e de mulheres seja distribuído igualmente entre as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seqüências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. Se o medicamento for indicado para pacientes com características específicas de idade e sexo, o estudo deverá ser integralmente realizado em voluntários com essas características. No caso de estudos para contraceptivos, o estudo deve ser realizado com mulheres em idade fértil;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l) o peso dos voluntários deverá estar em um limite de ± 15% do peso considerado normal para homens e mulheres,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levandose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em consideração altura e estrutura física. No caso de contraceptivos, recomenda-se que o limite de peso seja de ± 10%;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lastRenderedPageBreak/>
        <w:t xml:space="preserve">m)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evitar indivíduos fumantes e com histórico de abuso de álcool ou drogas. Caso sejam incluídos fumantes, os mesmos devem estar identificados;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n) no caso de estudos que necessitem de voluntários com características diferentes das citadas anteriormente, a inclusão dos mesmos deverá ser justificada cientificamente;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o) no caso de adesivos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transdérmicos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(“patches”), o estudo deve ser realizado considerando as instruções relativas ao local e forma de aplicação definidos pelo medicamento de referência;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p) medicamentos citotóxicos podem ser testados em voluntários sadios ou pacientes portadores estáveis da patologia para a qual o medicamento é indicado, com seu consentimento livre e esclarecido ou de seu representante legal, em caso de impossibilidade do mesmo;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q) no caso de fármacos que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apresentam meia-vida de eliminação longa (superior a 24 horas)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, poderá ser utilizado um cronograma de coletas alternativo, no mínimo de 72 horas, que possibilite a determinação da área sob a curva truncada (ASC0-72), ou um estudo paralelo;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r) estudos de doses múltiplas não são, geralmente, recomendados, uma vez que estudos de dose única são mais sensíveis a diferenças nas formulações. Entretanto, os estudos de dose múltipla podem ser utilizados nos casos em que, reconhecidamente, os mesmos reduzam a variabilidade </w:t>
      </w:r>
      <w:proofErr w:type="spellStart"/>
      <w:proofErr w:type="gramStart"/>
      <w:r w:rsidRPr="00272A93">
        <w:rPr>
          <w:rFonts w:ascii="Times New Roman" w:hAnsi="Times New Roman" w:cs="Times New Roman"/>
          <w:sz w:val="24"/>
          <w:szCs w:val="24"/>
        </w:rPr>
        <w:t>intra-individual</w:t>
      </w:r>
      <w:proofErr w:type="spellEnd"/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no processo de absorção do fármaco;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s) devem ser realizados estudos com alimentação nos seguintes casos: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2A93">
        <w:rPr>
          <w:rFonts w:ascii="Times New Roman" w:hAnsi="Times New Roman" w:cs="Times New Roman"/>
          <w:sz w:val="24"/>
          <w:szCs w:val="24"/>
        </w:rPr>
        <w:t>s.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formas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farmacêuticas orais de liberação prolongada ou controlada (adicionalmente ao estudo em jejum);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2A93">
        <w:rPr>
          <w:rFonts w:ascii="Times New Roman" w:hAnsi="Times New Roman" w:cs="Times New Roman"/>
          <w:sz w:val="24"/>
          <w:szCs w:val="24"/>
        </w:rPr>
        <w:t>s.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formas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farmacêuticas orais de liberação retardada, que apresentam revestimento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gastro-resistente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, quando houver indicação na Lista 1- Forma de Administração (acessível no portal da Anvisa). Caso o fármaco não conste na lista, deve ser realizada uma consulta prévia à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para verificação da necessidade do estudo com alimentos;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2A93">
        <w:rPr>
          <w:rFonts w:ascii="Times New Roman" w:hAnsi="Times New Roman" w:cs="Times New Roman"/>
          <w:sz w:val="24"/>
          <w:szCs w:val="24"/>
        </w:rPr>
        <w:t>s.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formas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farmacêuticas orais de liberação imediata cujos fármacos tenham a absorção influenciada pela presença de alimentos, resultando em alterações clinicamente significativas e na indicação de administração do medicamento com alimentos. Deve ser verificada a Lista 1- Forma de Administração (acessível no portal da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) e, caso o fármaco não conste na lista, deve ser realizada uma consulta prévia à Anvisa para verificação da necessidade do estudo com alimentos. Nos casos de dúvida, o protocolo de estudo poderá ser submetido à avaliação prévia da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t) o investigador deve preencher um formulário de registro de eventos adversos e relacionar os procedimentos adotados para controle ou tratamento dos mesmos;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u) o projeto de pesquisa, o protocolo experimental e o termo de consentimento livre e esclarecido devem ser submetidos e aprovados por um Comitê de Ética em Pesquisa (CEP) credenciado no Comitê Nacional de Ética em Pesquisa (CONEP) do Conselho Nacional de Saúde/MS. Deverá constar no título do projeto o nome do fármaco, a dose por unidade, a forma farmacêutica e nome do fabricante dos medicamentos teste e de referência. Esse título também deverá constar no protocolo experimental, no termo de consentimento livre e esclarecido, bem como no parecer do Comitê de Ética em Pesquisa;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v) os voluntários participantes dos estudos clínicos, que necessitem de confinamento, deverão permanecer em local apropriado que atenda às Boas Práticas de Clínica (BPC), sob a responsabilidade de profissional médico;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x) nos casos em que seja necessário transportar as amostras biológicas (plasma, soro ou urina) deve-se seguir o procedimento de Boas Práticas de Laboratório (BPL) para preservar as características do material a ser analisado. Utilizar embalagem apropriada (certificada) de acondicionamento e transporte. A temperatura da amostra biológica deverá ser registrada com aparelho calibrado para garantir a manutenção da estabilidade durante o período de transporte.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z) devem ser relatados e justificados todos os desvios de protocolo.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2. Etapa analítica Todas as etapas do estudo deverão ser realizadas de acordo com as normas internacionais de Boas Práticas de Laboratório (BPL) e conforme o GUIA PARA VALIDAÇÃO DE MÉTODOS ANALÍTICOS E BIOANALÍTICOS.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a) o método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bioanalítico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, cromatográfico ou outro, empregado para quantificação do fármaco em líquido biológico, deve ser descrito detalhadamente na forma de protocolo ou procedimento operacional padrão (POP) e deve ser validado para sua aplicação;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b) a relação entre a concentração do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analito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e a resposta proveniente do método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bioanalítico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deve apresentar reprodutibilidade e ser definida adequadamente, empregando-se número suficiente de padrões para a construção da curva de calibração;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c) devem ser realizados estudos de estabilidade do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analito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(fármaco ou metabólito) nos líquidos biológicos;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2A93">
        <w:rPr>
          <w:rFonts w:ascii="Times New Roman" w:hAnsi="Times New Roman" w:cs="Times New Roman"/>
          <w:strike/>
          <w:sz w:val="24"/>
          <w:szCs w:val="24"/>
        </w:rPr>
        <w:t>d) o protocolo analítico deverá conter os critérios para reanálise das amostras; não mais do que 20% das amostras poderão ser reanalisadas</w:t>
      </w:r>
      <w:r w:rsidRPr="00272A93">
        <w:rPr>
          <w:rFonts w:ascii="Times New Roman" w:hAnsi="Times New Roman" w:cs="Times New Roman"/>
          <w:sz w:val="24"/>
          <w:szCs w:val="24"/>
        </w:rPr>
        <w:t xml:space="preserve">; </w:t>
      </w:r>
      <w:r w:rsidR="00272A93">
        <w:rPr>
          <w:rFonts w:ascii="Times New Roman" w:hAnsi="Times New Roman" w:cs="Times New Roman"/>
          <w:b/>
          <w:color w:val="0000FF"/>
          <w:sz w:val="24"/>
          <w:szCs w:val="24"/>
        </w:rPr>
        <w:t>(Revogada</w:t>
      </w:r>
      <w:bookmarkStart w:id="0" w:name="_GoBack"/>
      <w:bookmarkEnd w:id="0"/>
      <w:r w:rsidR="00272A93" w:rsidRPr="00272A9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C954AA" w:rsidRPr="00272A9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RE nº 27, de 17 de maio de </w:t>
      </w:r>
      <w:proofErr w:type="gramStart"/>
      <w:r w:rsidR="00C954AA" w:rsidRPr="00272A93">
        <w:rPr>
          <w:rFonts w:ascii="Times New Roman" w:hAnsi="Times New Roman" w:cs="Times New Roman"/>
          <w:b/>
          <w:color w:val="0000FF"/>
          <w:sz w:val="24"/>
          <w:szCs w:val="24"/>
        </w:rPr>
        <w:t>2012)</w:t>
      </w:r>
      <w:proofErr w:type="gramEnd"/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e) deve-se justificar qualquer perda de amostra;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f) a análise das amostras poderá ser efetuada nas seguintes condições: sem réplica, em duplicata ou triplicata. Para análise de amostras em duplicata ou triplicata, os critérios de aceitação dos resultados devem ser descritos no POP;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g) todas as determinações com valores menores do que o Limite Inferior de Quantificação (LIQ) deverão ser consideradas iguais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zero, para os cálculos estatísticos;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>h) o protocolo analítico deverá conter os critérios de reintegração de dados da amostra;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>i) no caso de substâncias endógenas, a validação do método analítico deve incluir a determinação dos níveis basais (“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”), conforme o GUIA PARA VALIDAÇÃO DE MÉTODOS ANALÍTICOS E BIOANALÍTICOS; j) devem ser relatados e justificados todos os desvios de protocolo.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 Etapa estatística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 Metodologia geral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3.1.1.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parâmetros farmacocinéticos serão obtidos das curvas de concentração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sangüínea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do fármaco versus tempo, e analisados estatisticamente para determinação da bioequivalência;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3.1.1.1 no caso de substâncias endógenas, a análise estatística deverá ser realizada empregando as concentrações plasmáticas quantificadas com e sem correção dos níveis basais, sendo que a conclusão da bioequivalência deverá ser baseada nos valores corrigidos;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seguintes parâmetros farmacocinéticos devem ser determinados: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3.1.2.1.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área sob a curva de concentração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sangüínea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versus tempo, calculada pelo método dos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trapezóides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, do tempo zero ao tempo t (ASC0-t), onde t é o tempo relativo à última concentração do fármaco determinada experimentalmente (acima do limite de quantificação);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3.1.2.2.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área sob a curva de concentração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sangüínea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versus tempo, calculada do tempo zero ao tempo infinito (ASC0-inf), onde ASC0-inf = ASC0-t +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/k, onde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é a última concentração do fármaco determinada experimentalmente (acima do limite de quantificação) e k é a constante de eliminação da fase terminal. A ASC0- t deve ser igual ou superior a 80% da ASC0-inf, exceto nos casos em que se utiliza ASC truncada;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3.1.2.3.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pico de concentração máxima (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>) do fármaco e/ou metabólito e o tempo para atingir este pico (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) devem ser obtidos diretamente, sem interpolação dos dados;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3.1.2.4.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meia-vida de eliminação (t1/2) do fármaco e/ou metabólito também deve ser determinada, embora não haja necessidade de tratamento estatístico;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3.1.2.5.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estudos que empregam doses múltiplas devem ser determinados os seguintes parâmetros: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a) ASC0-t calculado no intervalo de dose (tau) no estado de equilíbrio;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>, obtidos sem interpolação de dados; concentração mínima do fármaco (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Cmin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>), determinada no final de cada intervalo de dose do estado de equilíbrio;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c) concentração média do fármaco no estado de equilíbrio (C* = ASC0-t /tau); d) grau de flutuação no estado de equilíbrio;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3.1.2.6.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avaliação da bioequivalência devem ser empregados os parâmetros ASC0-t,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3.1.2.7.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caso de estudos com doses múltiplas deve-se comprovar que o estado de equilíbrio foi alcançado após a administração dos medicamentos teste e referência;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3.1.3.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não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será permitida a exclusão de mais de 5% dos voluntários que participaram do estudo até a sua conclusão ou a falta de mais de 10% dos valores das concentrações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sangüíneas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do fármaco provenientes da administração de cada medicamento por voluntário.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3.2. Análise estatística (ver GUIA PARA PLANEJAMENTO E EXECUÇÃO DA ETAPA ESTATÍSTICA DE ESTUDOS DE BIODISPONIBILIDADE RELATIVA/ BIOEQUIVALÊNCIA)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a) deve-se apresentar tabela contendo valores individuais, médias (aritmética e geométrica), desvio padrão e coeficiente de variação de todos os parâmetros farmacocinéticos relacionados à administração dos medicamentos teste e referência;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b) recomenda-se que os parâmetros ASC0-t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sejam transformados em logaritmo natural, uma vez que, em geral, a distribuição dos dados transformados se aproxima mais a uma distribuição normal em relação aos dados originais.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apresentar justificativas nos casos em que se optar por realizar a análise estatística nos dados em escala original;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c) deve-se realizar análise de variância (ANOVA) dos parâmetros farmacocinéticos ASC0-t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transformados para avaliar os efeitos de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seqüência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, de voluntário dentro da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seqüência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, período e tratamento. Além disso, deve-se apresentar tabela de ANOVA contendo fonte, grau de liberdade, soma dos quadrados, quadrado médio, estatística F, valor de p e os coeficientes de variação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intra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272A93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individuais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d) deve-se construir um intervalo de confiança (IC) de 90% para a diferença das médias dos dados transformados dos medicamentos teste e referência, para os parâmetros ASC0-t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antilogaritmo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do IC obtido constitui o IC de 90% para a razão das médias geométricas dos parâmetros: (ASC0-t teste/ASC0-treferência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Cmáxteste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Cmáxreferência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) A construção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desse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IC deve ser baseada no quadrado médio residual da ANOVA obtida conforme item c;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será analisado como diferença individual (= teste - referência), construindo-se IC de 90%, utilizando-se teste não paramétrico;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f) dois medicamentos serão considerados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bioequivalentes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se os valores extremos do intervalo de confiança de 90% da razão das médias geométricas (ASC0-t teste/ASC0-t referência 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Cmaxteste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Cmaxreferência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) forem maiores que 0,8 e menores que 1,25. Outros limites de IC de 90% para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, previamente estabelecidos no protocolo, poderão ser aceitos mediante justificativas científicas. Quando clinicamente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 xml:space="preserve">relevante,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Tmax</w:t>
      </w:r>
      <w:proofErr w:type="spellEnd"/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deverá também ser considerado;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g) esse método baseado em IC é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 xml:space="preserve">equivalente ao procedimento de dois testes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unicaudais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correspondentes com a hipótese nula de </w:t>
      </w:r>
      <w:proofErr w:type="spellStart"/>
      <w:r w:rsidRPr="00272A93">
        <w:rPr>
          <w:rFonts w:ascii="Times New Roman" w:hAnsi="Times New Roman" w:cs="Times New Roman"/>
          <w:sz w:val="24"/>
          <w:szCs w:val="24"/>
        </w:rPr>
        <w:t>bioinequivalência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>, com nível de significância de 5%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(alfa=0,05);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h) programas estatísticos validados devem ser utilizados;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i) quando </w:t>
      </w:r>
      <w:proofErr w:type="gramStart"/>
      <w:r w:rsidRPr="00272A93">
        <w:rPr>
          <w:rFonts w:ascii="Times New Roman" w:hAnsi="Times New Roman" w:cs="Times New Roman"/>
          <w:sz w:val="24"/>
          <w:szCs w:val="24"/>
        </w:rPr>
        <w:t>necessário, modelos</w:t>
      </w:r>
      <w:proofErr w:type="gramEnd"/>
      <w:r w:rsidRPr="00272A93">
        <w:rPr>
          <w:rFonts w:ascii="Times New Roman" w:hAnsi="Times New Roman" w:cs="Times New Roman"/>
          <w:sz w:val="24"/>
          <w:szCs w:val="24"/>
        </w:rPr>
        <w:t xml:space="preserve"> estatísticos apropriados, dependendo do tipo de estudo (por exemplo, de doses múltiplas) devem ser empregados;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 xml:space="preserve">j) no caso de voluntários que apresentem comportamento discrepante nos parâmetros farmacocinéticos, em relação aos demais voluntários, sua exclusão do estudo deverá ser justificada. Deverão ser apresentados os resultados do estudo com e sem a inclusão de seus dados; </w:t>
      </w:r>
    </w:p>
    <w:p w:rsidR="000B02CF" w:rsidRPr="00272A93" w:rsidRDefault="000B02CF" w:rsidP="000B02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</w:rPr>
        <w:t>k) informar os programas (softwares) usados para a análise estatística dos dados.</w:t>
      </w:r>
    </w:p>
    <w:sectPr w:rsidR="000B02CF" w:rsidRPr="00272A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A93" w:rsidRDefault="00272A93" w:rsidP="00272A93">
      <w:pPr>
        <w:spacing w:after="0" w:line="240" w:lineRule="auto"/>
      </w:pPr>
      <w:r>
        <w:separator/>
      </w:r>
    </w:p>
  </w:endnote>
  <w:endnote w:type="continuationSeparator" w:id="0">
    <w:p w:rsidR="00272A93" w:rsidRDefault="00272A93" w:rsidP="0027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93" w:rsidRPr="008A0471" w:rsidRDefault="00272A93" w:rsidP="00272A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72A93" w:rsidRDefault="00272A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A93" w:rsidRDefault="00272A93" w:rsidP="00272A93">
      <w:pPr>
        <w:spacing w:after="0" w:line="240" w:lineRule="auto"/>
      </w:pPr>
      <w:r>
        <w:separator/>
      </w:r>
    </w:p>
  </w:footnote>
  <w:footnote w:type="continuationSeparator" w:id="0">
    <w:p w:rsidR="00272A93" w:rsidRDefault="00272A93" w:rsidP="0027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93" w:rsidRPr="00B517AC" w:rsidRDefault="00272A93" w:rsidP="00272A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AF14EDA" wp14:editId="266AD3E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2A93" w:rsidRPr="00B517AC" w:rsidRDefault="00272A93" w:rsidP="00272A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72A93" w:rsidRPr="00B517AC" w:rsidRDefault="00272A93" w:rsidP="00272A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72A93" w:rsidRDefault="00272A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D1"/>
    <w:rsid w:val="000B02CF"/>
    <w:rsid w:val="001E708B"/>
    <w:rsid w:val="00272A93"/>
    <w:rsid w:val="004571D1"/>
    <w:rsid w:val="007441BF"/>
    <w:rsid w:val="00786686"/>
    <w:rsid w:val="00827F99"/>
    <w:rsid w:val="008E2FD9"/>
    <w:rsid w:val="00B30817"/>
    <w:rsid w:val="00C954AA"/>
    <w:rsid w:val="00D501F0"/>
    <w:rsid w:val="00D621E1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A93"/>
  </w:style>
  <w:style w:type="paragraph" w:styleId="Rodap">
    <w:name w:val="footer"/>
    <w:basedOn w:val="Normal"/>
    <w:link w:val="RodapChar"/>
    <w:uiPriority w:val="99"/>
    <w:unhideWhenUsed/>
    <w:rsid w:val="00272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A93"/>
  </w:style>
  <w:style w:type="paragraph" w:styleId="Textodebalo">
    <w:name w:val="Balloon Text"/>
    <w:basedOn w:val="Normal"/>
    <w:link w:val="TextodebaloChar"/>
    <w:uiPriority w:val="99"/>
    <w:semiHidden/>
    <w:unhideWhenUsed/>
    <w:rsid w:val="0027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A93"/>
  </w:style>
  <w:style w:type="paragraph" w:styleId="Rodap">
    <w:name w:val="footer"/>
    <w:basedOn w:val="Normal"/>
    <w:link w:val="RodapChar"/>
    <w:uiPriority w:val="99"/>
    <w:unhideWhenUsed/>
    <w:rsid w:val="00272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A93"/>
  </w:style>
  <w:style w:type="paragraph" w:styleId="Textodebalo">
    <w:name w:val="Balloon Text"/>
    <w:basedOn w:val="Normal"/>
    <w:link w:val="TextodebaloChar"/>
    <w:uiPriority w:val="99"/>
    <w:semiHidden/>
    <w:unhideWhenUsed/>
    <w:rsid w:val="0027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7E7FBF-7DDD-4BA1-A210-B8DEE2A039D2}"/>
</file>

<file path=customXml/itemProps2.xml><?xml version="1.0" encoding="utf-8"?>
<ds:datastoreItem xmlns:ds="http://schemas.openxmlformats.org/officeDocument/2006/customXml" ds:itemID="{4FB805D1-16FF-4025-BBE4-C901E864CCD9}"/>
</file>

<file path=customXml/itemProps3.xml><?xml version="1.0" encoding="utf-8"?>
<ds:datastoreItem xmlns:ds="http://schemas.openxmlformats.org/officeDocument/2006/customXml" ds:itemID="{AB7715EF-7D2D-4CBA-BE02-D5086242E2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2801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cp:lastPrinted>2017-01-13T13:14:00Z</cp:lastPrinted>
  <dcterms:created xsi:type="dcterms:W3CDTF">2017-01-13T13:11:00Z</dcterms:created>
  <dcterms:modified xsi:type="dcterms:W3CDTF">2017-01-13T13:15:00Z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