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71366E" w:rsidRDefault="008C0694" w:rsidP="008C0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66E">
        <w:rPr>
          <w:rFonts w:ascii="Times New Roman" w:hAnsi="Times New Roman" w:cs="Times New Roman"/>
          <w:b/>
          <w:sz w:val="24"/>
          <w:szCs w:val="24"/>
        </w:rPr>
        <w:t>RESOLUÇÃO – RE Nº 310, DE 01 DE SETEMBRO DE 2004</w:t>
      </w:r>
    </w:p>
    <w:p w:rsidR="008C0694" w:rsidRPr="0071366E" w:rsidRDefault="008C0694" w:rsidP="008C069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171, de 03 de setembro de 2004)</w:t>
      </w:r>
    </w:p>
    <w:p w:rsidR="000E08C5" w:rsidRPr="0071366E" w:rsidRDefault="000E08C5" w:rsidP="008C069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31, de 11 de agosto de 2010)</w:t>
      </w:r>
    </w:p>
    <w:p w:rsidR="005D1A81" w:rsidRPr="0071366E" w:rsidRDefault="005D1A81" w:rsidP="005D1A81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71366E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</w:t>
      </w: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13, de 16 de janeiro de 2004,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"a" § 3º do Regimento Interno aprovado pela Portaria nº 593, de 25 de agosto de 2000, republicada no DOU de 22 de dezembro de 2000,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que a matéria foi submetida à apreciação da Diretoria Colegiada, que a aprovou em reunião realizada em 30 de agosto de 2004, resolve: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Art. 1º Determinar a publicação do "Guia para realização do estudo e elaboração do relatório de equivalência farmacêutica e perfil de dissolução" anexo.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Art. 2º Ficam revogadas as Resoluções RE no 900 e no 901, de 29 de maio de 2003.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 em vigor na data de sua publicação. </w:t>
      </w:r>
    </w:p>
    <w:p w:rsidR="004C503B" w:rsidRPr="0071366E" w:rsidRDefault="005D1A81" w:rsidP="004C503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>DAVI RUMEL</w:t>
      </w:r>
    </w:p>
    <w:p w:rsidR="004C503B" w:rsidRPr="0071366E" w:rsidRDefault="004C503B" w:rsidP="004C503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4C503B" w:rsidRPr="0071366E" w:rsidRDefault="005D1A81" w:rsidP="004C503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1366E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4C503B" w:rsidRPr="0071366E" w:rsidRDefault="005D1A81" w:rsidP="004C503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b/>
          <w:strike/>
          <w:sz w:val="24"/>
          <w:szCs w:val="24"/>
        </w:rPr>
        <w:t>GUIA PARA REALIZAÇÃO DO ESTUDO E ELABORAÇÃO DO RELATÓRIO DE EQUIVALÊNCIA FARMACÊUTICA E PERFIL DE DISSOLUÇÃO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I. Considerações gerais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 O estudo de equivalência farmacêutica deve ser realizado entre o medicamento teste e o medicamento de referência comercializado no País.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>2. Os estudos de equivalência farmacêutica e de perfis de dissolução devem ser realizados por laboratórios devidamente autorizados pela Anvisa para essas finalidades, pertencente à Rede Brasileira de Laboratórios Analíticos em Saúde (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Reblas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).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 Os estudos devem ser realizados em amostras com até seis meses de fabricação, preferencialmente.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4. O medicamento de referência deve cumprir com todos os requisitos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5. O medicamento teste deve cumprir em sua totalidade com os requisitos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da monografia individual, inscrita na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Brasileira. No caso de utilização de algum outro código autorizado pela legislação vigente, os requisitos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da monografia devem ser complementados com os ensaios descritos em métodos gerais da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Brasileira vigente, para a forma farmacêutica em estudo. Na falta de monografia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farmacopéica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oficial, o estudo deve ser realizado utilizando-se método fornecido pela empresa solicitante,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covalidado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pelo laboratório executor do estudo, complementando-se com os ensaios descritos em métodos gerais da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Brasileira vigente.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6. Deve-se utilizar substâncias de referência oficializadas pela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Brasileira ou, na </w:t>
      </w:r>
      <w:r w:rsidR="004C503B" w:rsidRPr="0071366E">
        <w:rPr>
          <w:rFonts w:ascii="Times New Roman" w:hAnsi="Times New Roman" w:cs="Times New Roman"/>
          <w:strike/>
          <w:sz w:val="24"/>
          <w:szCs w:val="24"/>
        </w:rPr>
        <w:t>ausência destas, por outros có</w:t>
      </w: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digos autorizados pela legislação vigente. No caso da inexistência dessas substâncias, será admitido o uso de padrões de trabalho, desde que a identidade, o teor, os resíduos e o perfil de impureza sejam devidamente determinados.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7. Os ensaios para a comprovação da equivalência farmacêutica devem ser realizados, simultaneamente, nos medicamentos teste e referência.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8. Os testes de esterilidade e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pirogênio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para o medicamento de referência na equivalência farmacêutica podem ser dispensados em alguns casos, desde que a solicitação com a devida justificativa seja protocolada para apreciação da Gerência responsável pela habilitação dos centros de equivalência farmacêutica na Anvisa antecipadamente a execução da equivalência farmacêutica. </w:t>
      </w:r>
    </w:p>
    <w:p w:rsidR="005D1A81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9. Devem estar à disposição da empresa contratante e da Anvisa os históricos individuais das análises realizadas, contendo os dados utilizados na avaliação de cada ensaio: dados estatísticos, tabelas com resultados, cópia dos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cromatogramas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e espectros, dos medicamentos teste e referência.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10. No caso da transferência de metodologias da matriz para o centro de equivalência, o método será considerado validado, desde que sejam avaliados os parâmetros de precisão, especificidade e linearidade.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11. A amostragem mínima deve possibilitar estudo completo de equivalência farmacêutica, um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re-teste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e 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contra-prova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12. O prazo mínimo para a retenção dos lotes deve ser correspondente ao prazo de validade do produto mais um ano, tendo como parâmetro a validade do produto mais recente (teste X referência).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13. Os estudos de perfis de dissolução devem utilizar o mesmo método de dissolução empregado no estudo de equivalência farmacêutica. No caso da inexistência de método de dissolução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farmacopéico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, os perfis de dissolução devem ser realizados em, pelo menos, três meios de dissolução diferentes, dentro da faixa de pH fisiológico. Os três meios devem ser validados. A apresentação dos perfis de dissolução em três meios poderá ser dispensada nos casos em que a empresa apresentar o dossiê de desenvolvimento analítico, comprovando que o método proposto para análise é o mais adequado para o produto. Esse procedimento também pode ser adotado nos casos em que o método de dissolução presente </w:t>
      </w: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na(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s)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(s) não é adequado para o produto, desde que devidamente justificado.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14. Os relatórios com os resultados e a avaliação do estudo de equivalência farmacêutica realizado com o medicamento que se apresente na forma de comprimido revestido/drágea cujo medicamento de referência seja comprimido simples ou </w:t>
      </w: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vice versa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poderá ser registrado como medicamento genérico ou similar desde que o revestimento não apresente função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gastro-protetora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II. Procedimentos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Critérios para os estudos de equivalência farmacêutica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 Para medicamentos isentos do estudo de biodisponibilidade relativa/bioequivalência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1.1. Cumprir todas as exigências citadas em considerações gerais;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1.2. Para adesivos de liberação modificada para aplicação tópica, cremes, pomadas,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ungüentos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, géis, pastas e suspensões deve ser verificada a semelhança entre os perfis de dissolução do fármaco contido nos medicamentos teste e referência, quando houver método de dissolução para o produto (fármaco e forma farmacêutica) descrito na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Brasileira ou em algum outro código autorizado pela legislação </w:t>
      </w: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vigente ;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1.3. No caso de apresentações em gotas (soluções e suspensões, orais, nasais, oftálmicas, entre outras) deve ser determinado o número de gotas que corresponde a 1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mL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, indicando-se a concentração do fármaco por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mL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. O certificado de equivalência farmacêutica deve conter a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intercambialidade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em mg/gotas entre o medicamento teste e referência;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1.4. Para as apresentações na forma farmacêutica spray, deve ser comprovada a concentração do fármaco por dose, de acordo com o medicamento de referência.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 Para medicamentos em que o estudo de equivalência farmacêutica substitui a biodisponibilidade relativa/bioequivalência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2.1. Cumprir todas as exigências citadas em considerações gerais;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2.2. Apresentar estudo comparativo dos perfis de dissolução em relação ao medicamento de referência conforme o procedimento descrito no item V.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3. Para medicamentos a serem submetidos ao estudo de biodisponibilidade relativa/bioequivalência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3.1. Cumprir todas as exigências citadas em considerações gerais;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3.2. O estudo de equivalência farmacêutica deve ser realizado utilizando-se obrigatoriamente o mesmo lote empregado no estudo de biodisponibilidade relativa/bioequivalência, respeitadas as restrições de outras normas legais e regulamentares pertinentes;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3.3. A diferença de teor do fármaco entre os medicamentos teste e referência não deve ser superior a 5,0%. Caso este limite seja ultrapassado, documentação adicional poderá ser solicitada pela Anvisa.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3.4. Apresentar estudo comparativo dos perfis de dissolução dos dois produtos (teste e referência), não sendo obrigatória, entretanto, a demonstração da semelhança entre os perfis.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III. Relatório técnico/certificado de equivalência farmacêutica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Para todos os casos acima, deve ser apresentado certificado (s) de análise de equivalência farmacêutica </w:t>
      </w: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s) medicamento(s) teste e referência, conforme modelo disponível no website da http://www.anvisa.gov.br/reblas/certificados/index.htm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IV. Relatório técnico/certificado de perfis de dissolução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Nos casos em que a apresentação dos perfis de dissolução for necessária, o relatório/certificado deve ser apresentado conforme modelo disponível no website da Anvisa http://www.anvisa.gov.br/reblas/certificados/index.htm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V. Comparação de perfis de dissolução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A comparação de perfis de dissolução é útil nos casos em que se deseja conhecer o comportamento de dois produtos antes de submetê-los a ensaios de biodisponibilidade relativa/bioequivalência, para isentar as menores dosagens desses estudos e nos casos de alterações pós-registro. Nesta comparação avalia-se a curva como um todo empregando Método Modelo Independente. </w:t>
      </w:r>
    </w:p>
    <w:p w:rsidR="005D1A81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lastRenderedPageBreak/>
        <w:t>Um método modelo independente simples é aquele que emprega um fator de diferença (f1) e um fator de semelhança (f2). O fator f1 calcula a porcentagem de diferença entre os dois perfis avaliados a cada tempo de coleta e corresponde a uma medida do erro relativo entre os perfis:</w:t>
      </w:r>
    </w:p>
    <w:p w:rsidR="005D1A81" w:rsidRPr="0071366E" w:rsidRDefault="00A16947" w:rsidP="0071366E">
      <w:pPr>
        <w:tabs>
          <w:tab w:val="left" w:pos="6960"/>
        </w:tabs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472619</wp:posOffset>
                </wp:positionH>
                <wp:positionV relativeFrom="paragraph">
                  <wp:posOffset>342409</wp:posOffset>
                </wp:positionV>
                <wp:extent cx="3804249" cy="8626"/>
                <wp:effectExtent l="0" t="0" r="25400" b="2984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24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C2003" id="Conector re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6.95pt" to="336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" strokecolor="black [3040]"/>
            </w:pict>
          </mc:Fallback>
        </mc:AlternateContent>
      </w:r>
      <w:r w:rsidR="005D1A81" w:rsidRPr="0071366E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drawing>
          <wp:inline distT="0" distB="0" distL="0" distR="0" wp14:anchorId="472D4406" wp14:editId="2E9761E4">
            <wp:extent cx="3101277" cy="5619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741" t="26992" r="39457" b="65336"/>
                    <a:stretch/>
                  </pic:blipFill>
                  <pic:spPr bwMode="auto">
                    <a:xfrm>
                      <a:off x="0" y="0"/>
                      <a:ext cx="3122142" cy="56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1366E">
        <w:rPr>
          <w:rFonts w:ascii="Times New Roman" w:hAnsi="Times New Roman" w:cs="Times New Roman"/>
          <w:strike/>
          <w:sz w:val="24"/>
          <w:szCs w:val="24"/>
        </w:rPr>
        <w:t>onde</w:t>
      </w:r>
      <w:proofErr w:type="gram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: n = número de tempos de coleta;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Rt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= valor de porcentagem dissolvida no tempo t, obtido com o medicamento de referência ou com a formulação original (antes da alteração);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Tt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= valor de porcentagem dissolvida do produto teste ou da formulação alterada, no tempo t. </w:t>
      </w:r>
    </w:p>
    <w:p w:rsidR="005D1A81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>O fator f2 corresponde a uma medida de semelhança entre as porcentagens dissolvidas de ambos os perfis:</w:t>
      </w:r>
    </w:p>
    <w:p w:rsidR="005D1A81" w:rsidRPr="0071366E" w:rsidRDefault="00A16947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412235</wp:posOffset>
                </wp:positionH>
                <wp:positionV relativeFrom="paragraph">
                  <wp:posOffset>292208</wp:posOffset>
                </wp:positionV>
                <wp:extent cx="3364302" cy="25879"/>
                <wp:effectExtent l="0" t="0" r="26670" b="317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2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85369" id="Conector reto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3pt" to="297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" strokecolor="black [3040]"/>
            </w:pict>
          </mc:Fallback>
        </mc:AlternateContent>
      </w:r>
      <w:r w:rsidR="005D1A81" w:rsidRPr="0071366E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drawing>
          <wp:inline distT="0" distB="0" distL="0" distR="0" wp14:anchorId="00932BCB" wp14:editId="2903B48F">
            <wp:extent cx="3479997" cy="720000"/>
            <wp:effectExtent l="0" t="0" r="635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061" t="48586" r="39776" b="42890"/>
                    <a:stretch/>
                  </pic:blipFill>
                  <pic:spPr bwMode="auto">
                    <a:xfrm>
                      <a:off x="0" y="0"/>
                      <a:ext cx="347999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O procedimento é descrito a seguir: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1.1. Determinar o perfil de dissolução de ambos os medicamentos: teste e referência empregando doze unidades de cada.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1.2. Calcular os fatores f1 e f2 utilizando as equações apresentadas anteriormente. </w:t>
      </w:r>
    </w:p>
    <w:p w:rsidR="005D1A81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>1.3. Critério para que dois perfis de dissolução sejam considerados semelhantes:</w:t>
      </w:r>
    </w:p>
    <w:p w:rsidR="005D1A81" w:rsidRPr="0071366E" w:rsidRDefault="00A16947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412234</wp:posOffset>
                </wp:positionH>
                <wp:positionV relativeFrom="paragraph">
                  <wp:posOffset>283701</wp:posOffset>
                </wp:positionV>
                <wp:extent cx="3019245" cy="0"/>
                <wp:effectExtent l="0" t="0" r="1016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25CF" id="Conector reto 4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2.35pt" to="270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" strokecolor="black [3040]"/>
            </w:pict>
          </mc:Fallback>
        </mc:AlternateContent>
      </w:r>
      <w:r w:rsidR="005D1A81" w:rsidRPr="0071366E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drawing>
          <wp:inline distT="0" distB="0" distL="0" distR="0" wp14:anchorId="0E329311" wp14:editId="4540AC3C">
            <wp:extent cx="3067202" cy="5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221" t="69895" r="40096" b="23002"/>
                    <a:stretch/>
                  </pic:blipFill>
                  <pic:spPr bwMode="auto">
                    <a:xfrm>
                      <a:off x="0" y="0"/>
                      <a:ext cx="3067202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Deve-se também considerar: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a) empregar, no mínimo, cinco pontos de coleta;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b) incluir apenas um ponto acima de 85% de dissolução para ambos os produtos;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c) para permitir o uso de médias, os coeficientes de variação para os primeiros pontos (15 minutos, por exemplo) não devem exceder 20%. Para os demais pontos considera-se o máximo de 10%; </w:t>
      </w:r>
    </w:p>
    <w:p w:rsidR="004C503B" w:rsidRP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d) os valores médios de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Rt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podem ser derivados do último lote usado como referência, sem alteração, ou de dois ou mais lotes consecutivos, sem alteração; </w:t>
      </w:r>
    </w:p>
    <w:p w:rsidR="0071366E" w:rsidRDefault="005D1A81" w:rsidP="005D1A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e) nos casos em que a dissolução for muito rápida, apresentando valor igual ou superior a 85% de fármaco dissolvido em 15 minutos, os fatores f1 e f2 perdem o seu poder </w:t>
      </w:r>
      <w:proofErr w:type="spellStart"/>
      <w:r w:rsidRPr="0071366E">
        <w:rPr>
          <w:rFonts w:ascii="Times New Roman" w:hAnsi="Times New Roman" w:cs="Times New Roman"/>
          <w:strike/>
          <w:sz w:val="24"/>
          <w:szCs w:val="24"/>
        </w:rPr>
        <w:t>discrimitativo</w:t>
      </w:r>
      <w:proofErr w:type="spellEnd"/>
      <w:r w:rsidRPr="0071366E">
        <w:rPr>
          <w:rFonts w:ascii="Times New Roman" w:hAnsi="Times New Roman" w:cs="Times New Roman"/>
          <w:strike/>
          <w:sz w:val="24"/>
          <w:szCs w:val="24"/>
        </w:rPr>
        <w:t xml:space="preserve"> e, portanto, não é necessário calculá-los. Nesses casos, deve-se comprovar a rápida dissolução dos produtos e mostrar a forma da curva, realizando coletas em, por exemplo: 5, 10, 15 e 20 ou 30 minutos.</w:t>
      </w:r>
    </w:p>
    <w:p w:rsidR="0071366E" w:rsidRPr="0071366E" w:rsidRDefault="0071366E" w:rsidP="0071366E">
      <w:pPr>
        <w:rPr>
          <w:rFonts w:ascii="Times New Roman" w:hAnsi="Times New Roman" w:cs="Times New Roman"/>
          <w:sz w:val="24"/>
          <w:szCs w:val="24"/>
        </w:rPr>
      </w:pPr>
    </w:p>
    <w:p w:rsidR="0071366E" w:rsidRDefault="0071366E" w:rsidP="0071366E">
      <w:pPr>
        <w:rPr>
          <w:rFonts w:ascii="Times New Roman" w:hAnsi="Times New Roman" w:cs="Times New Roman"/>
          <w:sz w:val="24"/>
          <w:szCs w:val="24"/>
        </w:rPr>
      </w:pPr>
    </w:p>
    <w:p w:rsidR="005D1A81" w:rsidRPr="0071366E" w:rsidRDefault="0071366E" w:rsidP="0071366E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5D1A81" w:rsidRPr="0071366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66E" w:rsidRDefault="0071366E" w:rsidP="0071366E">
      <w:pPr>
        <w:spacing w:after="0" w:line="240" w:lineRule="auto"/>
      </w:pPr>
      <w:r>
        <w:separator/>
      </w:r>
    </w:p>
  </w:endnote>
  <w:endnote w:type="continuationSeparator" w:id="0">
    <w:p w:rsidR="0071366E" w:rsidRDefault="0071366E" w:rsidP="0071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66E" w:rsidRPr="008A0471" w:rsidRDefault="0071366E" w:rsidP="007136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71366E" w:rsidRDefault="007136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66E" w:rsidRDefault="0071366E" w:rsidP="0071366E">
      <w:pPr>
        <w:spacing w:after="0" w:line="240" w:lineRule="auto"/>
      </w:pPr>
      <w:r>
        <w:separator/>
      </w:r>
    </w:p>
  </w:footnote>
  <w:footnote w:type="continuationSeparator" w:id="0">
    <w:p w:rsidR="0071366E" w:rsidRDefault="0071366E" w:rsidP="0071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66E" w:rsidRPr="00B517AC" w:rsidRDefault="0071366E" w:rsidP="007136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D3A729F" wp14:editId="064C0060">
          <wp:extent cx="657225" cy="647700"/>
          <wp:effectExtent l="0" t="0" r="9525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366E" w:rsidRPr="00B517AC" w:rsidRDefault="0071366E" w:rsidP="007136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1366E" w:rsidRPr="00B517AC" w:rsidRDefault="0071366E" w:rsidP="007136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1366E" w:rsidRDefault="007136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94"/>
    <w:rsid w:val="000E08C5"/>
    <w:rsid w:val="001E708B"/>
    <w:rsid w:val="0026546E"/>
    <w:rsid w:val="004C503B"/>
    <w:rsid w:val="005D1A81"/>
    <w:rsid w:val="0071366E"/>
    <w:rsid w:val="007441BF"/>
    <w:rsid w:val="00786686"/>
    <w:rsid w:val="00823F6D"/>
    <w:rsid w:val="008C0694"/>
    <w:rsid w:val="00A16947"/>
    <w:rsid w:val="00B30817"/>
    <w:rsid w:val="00D621E1"/>
    <w:rsid w:val="00FD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7D754"/>
  <w15:docId w15:val="{7A9D755D-FBEE-45A0-AB1F-EEB3CCDF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A8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C503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13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66E"/>
  </w:style>
  <w:style w:type="paragraph" w:styleId="Rodap">
    <w:name w:val="footer"/>
    <w:basedOn w:val="Normal"/>
    <w:link w:val="RodapChar"/>
    <w:uiPriority w:val="99"/>
    <w:unhideWhenUsed/>
    <w:rsid w:val="00713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5129F-24E7-41D0-AED1-26A398629777}"/>
</file>

<file path=customXml/itemProps2.xml><?xml version="1.0" encoding="utf-8"?>
<ds:datastoreItem xmlns:ds="http://schemas.openxmlformats.org/officeDocument/2006/customXml" ds:itemID="{24358EF6-5665-4FF6-B61E-87439003BB93}"/>
</file>

<file path=customXml/itemProps3.xml><?xml version="1.0" encoding="utf-8"?>
<ds:datastoreItem xmlns:ds="http://schemas.openxmlformats.org/officeDocument/2006/customXml" ds:itemID="{754A1CFD-F62D-4312-A40B-563AE1DA01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1616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laianabrasil</dc:creator>
  <cp:lastModifiedBy>Thais Jussara de Araujo Ferreira Pereira</cp:lastModifiedBy>
  <cp:revision>2</cp:revision>
  <dcterms:created xsi:type="dcterms:W3CDTF">2017-05-09T15:01:00Z</dcterms:created>
  <dcterms:modified xsi:type="dcterms:W3CDTF">2017-05-09T15:01:00Z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