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CFBA1" w14:textId="77777777" w:rsidR="001531C3" w:rsidRDefault="001531C3" w:rsidP="001531C3">
      <w:pPr>
        <w:pStyle w:val="Default"/>
      </w:pPr>
    </w:p>
    <w:p w14:paraId="477E30E5" w14:textId="77777777" w:rsidR="001531C3" w:rsidRDefault="001531C3" w:rsidP="001531C3">
      <w:pPr>
        <w:pStyle w:val="Default"/>
        <w:rPr>
          <w:sz w:val="23"/>
          <w:szCs w:val="23"/>
        </w:rPr>
      </w:pPr>
      <w:r>
        <w:t xml:space="preserve"> </w:t>
      </w:r>
      <w:r>
        <w:rPr>
          <w:b/>
          <w:bCs/>
          <w:sz w:val="23"/>
          <w:szCs w:val="23"/>
        </w:rPr>
        <w:t xml:space="preserve">Ministério da Saúde - MS Agência Nacional de Vigilância Sanitária - ANVISA </w:t>
      </w:r>
    </w:p>
    <w:p w14:paraId="4F26A020" w14:textId="77777777" w:rsidR="001531C3" w:rsidRDefault="001531C3" w:rsidP="001531C3">
      <w:pPr>
        <w:pStyle w:val="Default"/>
        <w:rPr>
          <w:color w:val="auto"/>
        </w:rPr>
      </w:pPr>
    </w:p>
    <w:p w14:paraId="17D9CAC9" w14:textId="77777777" w:rsidR="001531C3" w:rsidRDefault="001531C3" w:rsidP="001531C3">
      <w:pPr>
        <w:pStyle w:val="Default"/>
        <w:rPr>
          <w:color w:val="auto"/>
          <w:sz w:val="22"/>
          <w:szCs w:val="22"/>
        </w:rPr>
      </w:pPr>
      <w:r>
        <w:rPr>
          <w:color w:val="auto"/>
        </w:rPr>
        <w:t xml:space="preserve"> </w:t>
      </w:r>
      <w:r>
        <w:rPr>
          <w:color w:val="auto"/>
          <w:sz w:val="22"/>
          <w:szCs w:val="22"/>
        </w:rPr>
        <w:t xml:space="preserve">Este texto não substitui o(s) publicado(s) em Diário Oficial da União. </w:t>
      </w:r>
    </w:p>
    <w:p w14:paraId="19454EB9" w14:textId="77777777" w:rsidR="001531C3" w:rsidRDefault="001531C3" w:rsidP="001531C3">
      <w:pPr>
        <w:pStyle w:val="Default"/>
        <w:rPr>
          <w:color w:val="auto"/>
        </w:rPr>
      </w:pPr>
    </w:p>
    <w:p w14:paraId="12E9D08C" w14:textId="77777777" w:rsidR="001531C3" w:rsidRDefault="001531C3" w:rsidP="001531C3">
      <w:pPr>
        <w:pStyle w:val="Default"/>
        <w:rPr>
          <w:color w:val="auto"/>
          <w:sz w:val="23"/>
          <w:szCs w:val="23"/>
        </w:rPr>
      </w:pPr>
      <w:r>
        <w:rPr>
          <w:color w:val="auto"/>
        </w:rPr>
        <w:t xml:space="preserve"> </w:t>
      </w:r>
      <w:r>
        <w:rPr>
          <w:rFonts w:ascii="Times New Roman" w:hAnsi="Times New Roman" w:cs="Times New Roman"/>
          <w:b/>
          <w:bCs/>
          <w:color w:val="auto"/>
          <w:sz w:val="23"/>
          <w:szCs w:val="23"/>
        </w:rPr>
        <w:t xml:space="preserve">RESOLUÇÃO - RE N° 1, DE 29 DE JULHO DE 2005 </w:t>
      </w:r>
    </w:p>
    <w:p w14:paraId="2EF24D52" w14:textId="77777777" w:rsidR="001531C3" w:rsidRDefault="001531C3" w:rsidP="001531C3">
      <w:pPr>
        <w:pStyle w:val="Default"/>
        <w:rPr>
          <w:color w:val="auto"/>
          <w:sz w:val="23"/>
          <w:szCs w:val="23"/>
        </w:rPr>
      </w:pPr>
      <w:r>
        <w:rPr>
          <w:rFonts w:ascii="Times New Roman" w:hAnsi="Times New Roman" w:cs="Times New Roman"/>
          <w:b/>
          <w:bCs/>
          <w:color w:val="auto"/>
          <w:sz w:val="23"/>
          <w:szCs w:val="23"/>
        </w:rPr>
        <w:t xml:space="preserve">(Publicada no DOU nº 146, de 1 de agosto de 2005) </w:t>
      </w:r>
    </w:p>
    <w:p w14:paraId="208D210D" w14:textId="77777777" w:rsidR="001531C3" w:rsidRDefault="001531C3" w:rsidP="001531C3">
      <w:pPr>
        <w:pStyle w:val="Default"/>
        <w:rPr>
          <w:color w:val="auto"/>
          <w:sz w:val="23"/>
          <w:szCs w:val="23"/>
        </w:rPr>
      </w:pPr>
      <w:r>
        <w:rPr>
          <w:rFonts w:ascii="Times New Roman" w:hAnsi="Times New Roman" w:cs="Times New Roman"/>
          <w:color w:val="auto"/>
          <w:sz w:val="23"/>
          <w:szCs w:val="23"/>
        </w:rPr>
        <w:t xml:space="preserve">O Diretor-Presidente da Agência Nacional de Vigilância Sanitária, no uso de suas atribuições e tendo em vista o disposto no art. 111, inciso II, alínea “a” do Regimento Interno da ANVISA aprovado pela Portaria nº 593, de 25 de agosto de 2000, republicada em 22 de dezembro de 2000, resolve: </w:t>
      </w:r>
    </w:p>
    <w:p w14:paraId="6139B687" w14:textId="77777777" w:rsidR="001531C3" w:rsidRDefault="001531C3" w:rsidP="001531C3">
      <w:pPr>
        <w:pStyle w:val="Default"/>
        <w:rPr>
          <w:color w:val="auto"/>
          <w:sz w:val="23"/>
          <w:szCs w:val="23"/>
        </w:rPr>
      </w:pPr>
      <w:r>
        <w:rPr>
          <w:rFonts w:ascii="Times New Roman" w:hAnsi="Times New Roman" w:cs="Times New Roman"/>
          <w:color w:val="auto"/>
          <w:sz w:val="23"/>
          <w:szCs w:val="23"/>
        </w:rPr>
        <w:t xml:space="preserve">Art. 1º Autorizar ad referendum, a publicação do Guia para a Realização de Estudos de Estabilidade, em anexo. </w:t>
      </w:r>
    </w:p>
    <w:p w14:paraId="7E1C4BD4" w14:textId="77777777" w:rsidR="001531C3" w:rsidRDefault="001531C3" w:rsidP="001531C3">
      <w:pPr>
        <w:pStyle w:val="Default"/>
        <w:rPr>
          <w:color w:val="auto"/>
          <w:sz w:val="23"/>
          <w:szCs w:val="23"/>
        </w:rPr>
      </w:pPr>
      <w:r>
        <w:rPr>
          <w:rFonts w:ascii="Times New Roman" w:hAnsi="Times New Roman" w:cs="Times New Roman"/>
          <w:color w:val="auto"/>
          <w:sz w:val="23"/>
          <w:szCs w:val="23"/>
        </w:rPr>
        <w:t xml:space="preserve">Art. 2º Fica revogada a Resolução – RE nº 398, de 12 de novembro de 2004, publicada no Diário Oficial da União de 16 de novembro de 2004. </w:t>
      </w:r>
    </w:p>
    <w:p w14:paraId="1E960EB6" w14:textId="77777777" w:rsidR="001531C3" w:rsidRDefault="001531C3" w:rsidP="001531C3">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Art. 3º Esta Resolução entra em vigor na data de sua publicação. </w:t>
      </w:r>
    </w:p>
    <w:p w14:paraId="7DBF17FB" w14:textId="77777777" w:rsidR="001531C3" w:rsidRDefault="001531C3" w:rsidP="001531C3">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DIRCEU RAPOSO DE MELLO </w:t>
      </w:r>
    </w:p>
    <w:p w14:paraId="2707FD68" w14:textId="77777777" w:rsidR="001531C3" w:rsidRDefault="001531C3" w:rsidP="001531C3">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ANEXO </w:t>
      </w:r>
    </w:p>
    <w:p w14:paraId="7891571E" w14:textId="77777777" w:rsidR="001531C3" w:rsidRDefault="001531C3" w:rsidP="001531C3">
      <w:pPr>
        <w:pStyle w:val="Default"/>
        <w:rPr>
          <w:color w:val="auto"/>
          <w:sz w:val="23"/>
          <w:szCs w:val="23"/>
        </w:rPr>
      </w:pPr>
      <w:r>
        <w:rPr>
          <w:rFonts w:ascii="Times New Roman" w:hAnsi="Times New Roman" w:cs="Times New Roman"/>
          <w:color w:val="auto"/>
          <w:sz w:val="23"/>
          <w:szCs w:val="23"/>
        </w:rPr>
        <w:t xml:space="preserve">GUIA PARA A REALIZAÇÃO DE ESTUDOS DE E S TA B I L I D A D E </w:t>
      </w:r>
    </w:p>
    <w:p w14:paraId="7AC82004" w14:textId="77777777" w:rsidR="001531C3" w:rsidRDefault="001531C3" w:rsidP="001531C3">
      <w:pPr>
        <w:pStyle w:val="Default"/>
        <w:rPr>
          <w:color w:val="auto"/>
          <w:sz w:val="23"/>
          <w:szCs w:val="23"/>
        </w:rPr>
      </w:pPr>
      <w:r>
        <w:rPr>
          <w:rFonts w:ascii="Times New Roman" w:hAnsi="Times New Roman" w:cs="Times New Roman"/>
          <w:color w:val="auto"/>
          <w:sz w:val="23"/>
          <w:szCs w:val="23"/>
        </w:rPr>
        <w:t xml:space="preserve">A estabilidade de produtos farmacêuticos depende de fatores ambientais como temperatura, umidade e luz, e de outros relacionados ao próprio produto como propriedades físicas e químicas de substâncias ativas e excipientes farmacêuticos, forma farmacêutica e sua composição, processo de fabricação, tipo e propriedades dos materiais de embalagem. </w:t>
      </w:r>
    </w:p>
    <w:p w14:paraId="6A813F0C" w14:textId="77777777" w:rsidR="001531C3" w:rsidRDefault="001531C3" w:rsidP="001531C3">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APLICABILIDADE </w:t>
      </w:r>
    </w:p>
    <w:p w14:paraId="7B5CAA77" w14:textId="77777777" w:rsidR="001531C3" w:rsidRDefault="001531C3" w:rsidP="001531C3">
      <w:pPr>
        <w:pStyle w:val="Default"/>
        <w:rPr>
          <w:color w:val="auto"/>
          <w:sz w:val="23"/>
          <w:szCs w:val="23"/>
        </w:rPr>
      </w:pPr>
      <w:r>
        <w:rPr>
          <w:rFonts w:ascii="Times New Roman" w:hAnsi="Times New Roman" w:cs="Times New Roman"/>
          <w:color w:val="auto"/>
          <w:sz w:val="23"/>
          <w:szCs w:val="23"/>
        </w:rPr>
        <w:t xml:space="preserve">Guia para realização dos testes de estabilidade de produtos farmacêuticos a fim de prever, determinar ou acompanhar o seu prazo de validade. </w:t>
      </w:r>
    </w:p>
    <w:p w14:paraId="2D0481C8" w14:textId="77777777" w:rsidR="001531C3" w:rsidRDefault="001531C3" w:rsidP="001531C3">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1. DEFINIÇÕES </w:t>
      </w:r>
    </w:p>
    <w:p w14:paraId="20F39486" w14:textId="77777777" w:rsidR="001531C3" w:rsidRDefault="001531C3" w:rsidP="001531C3">
      <w:pPr>
        <w:pStyle w:val="Default"/>
        <w:rPr>
          <w:rFonts w:ascii="Times New Roman" w:hAnsi="Times New Roman" w:cs="Times New Roman"/>
          <w:color w:val="auto"/>
          <w:sz w:val="23"/>
          <w:szCs w:val="23"/>
        </w:rPr>
      </w:pPr>
    </w:p>
    <w:p w14:paraId="3B959B5E" w14:textId="77777777" w:rsidR="001531C3" w:rsidRDefault="001531C3" w:rsidP="001531C3">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ESTUDO DE ESTABILIDADE ACELERADO </w:t>
      </w:r>
    </w:p>
    <w:p w14:paraId="757631F2" w14:textId="77777777" w:rsidR="001531C3" w:rsidRDefault="001531C3" w:rsidP="001531C3">
      <w:pPr>
        <w:pStyle w:val="Default"/>
        <w:rPr>
          <w:color w:val="auto"/>
          <w:sz w:val="23"/>
          <w:szCs w:val="23"/>
        </w:rPr>
      </w:pPr>
      <w:r>
        <w:rPr>
          <w:rFonts w:ascii="Times New Roman" w:hAnsi="Times New Roman" w:cs="Times New Roman"/>
          <w:color w:val="auto"/>
          <w:sz w:val="23"/>
          <w:szCs w:val="23"/>
        </w:rPr>
        <w:t xml:space="preserve">Estudo projetado para acelerar a degradação química e/ou mudanças físicas de um produto farmacêutico em condições forçadas de armazenamento. Os dados assim obtidos, juntamente com aqueles derivados dos estudos de longa duração, podem ser usados para avaliar efeitos químicos e físicos prolongados em condições não aceleradas e para avaliar o impacto de curtas exposições a condições fora daquelas estabelecidas no rótulo do produto, que podem ocorrer durante o transporte. </w:t>
      </w:r>
    </w:p>
    <w:p w14:paraId="52671815" w14:textId="77777777" w:rsidR="001531C3" w:rsidRDefault="001531C3" w:rsidP="001531C3">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ESTUDO DE ESTABILIDADE DE ACOMPANHAMENTO </w:t>
      </w:r>
    </w:p>
    <w:p w14:paraId="5813D18B" w14:textId="77777777" w:rsidR="001531C3" w:rsidRDefault="001531C3" w:rsidP="001531C3">
      <w:pPr>
        <w:pStyle w:val="Default"/>
        <w:rPr>
          <w:color w:val="auto"/>
          <w:sz w:val="23"/>
          <w:szCs w:val="23"/>
        </w:rPr>
      </w:pPr>
      <w:r>
        <w:rPr>
          <w:rFonts w:ascii="Times New Roman" w:hAnsi="Times New Roman" w:cs="Times New Roman"/>
          <w:color w:val="auto"/>
          <w:sz w:val="23"/>
          <w:szCs w:val="23"/>
        </w:rPr>
        <w:t xml:space="preserve">Estudo realizado para verificar que o produto farmacêutico mantém suas características físicas, químicas, biológicas, e microbiológicas conforme os resultados obtidos nos estudos de estabilidade de longa duração. </w:t>
      </w:r>
      <w:r>
        <w:rPr>
          <w:b/>
          <w:bCs/>
          <w:color w:val="auto"/>
          <w:sz w:val="23"/>
          <w:szCs w:val="23"/>
        </w:rPr>
        <w:t xml:space="preserve">Ministério da Saúde - MS Agência Nacional de Vigilância Sanitária - ANVISA </w:t>
      </w:r>
    </w:p>
    <w:p w14:paraId="0B5A9B44" w14:textId="77777777" w:rsidR="001531C3" w:rsidRDefault="001531C3" w:rsidP="001531C3">
      <w:pPr>
        <w:pStyle w:val="Default"/>
        <w:rPr>
          <w:color w:val="auto"/>
          <w:sz w:val="22"/>
          <w:szCs w:val="22"/>
        </w:rPr>
      </w:pPr>
      <w:r>
        <w:rPr>
          <w:color w:val="auto"/>
          <w:sz w:val="22"/>
          <w:szCs w:val="22"/>
        </w:rPr>
        <w:t xml:space="preserve">Este texto não substitui o(s) publicado(s) em Diário Oficial da União. </w:t>
      </w:r>
    </w:p>
    <w:p w14:paraId="2E03240B" w14:textId="77777777" w:rsidR="001531C3" w:rsidRDefault="001531C3" w:rsidP="001531C3">
      <w:pPr>
        <w:pStyle w:val="Default"/>
        <w:rPr>
          <w:color w:val="auto"/>
        </w:rPr>
      </w:pPr>
    </w:p>
    <w:p w14:paraId="498A9782" w14:textId="77777777" w:rsidR="001531C3" w:rsidRDefault="001531C3" w:rsidP="001531C3">
      <w:pPr>
        <w:pStyle w:val="Default"/>
        <w:pageBreakBefore/>
        <w:rPr>
          <w:rFonts w:ascii="Times New Roman" w:hAnsi="Times New Roman" w:cs="Times New Roman"/>
          <w:color w:val="auto"/>
          <w:sz w:val="23"/>
          <w:szCs w:val="23"/>
        </w:rPr>
      </w:pPr>
      <w:r>
        <w:rPr>
          <w:rFonts w:ascii="Times New Roman" w:hAnsi="Times New Roman" w:cs="Times New Roman"/>
          <w:color w:val="auto"/>
          <w:sz w:val="23"/>
          <w:szCs w:val="23"/>
        </w:rPr>
        <w:lastRenderedPageBreak/>
        <w:t xml:space="preserve">ESTUDO DE ESTABILIDADE DE LONGA DURAÇÃO </w:t>
      </w:r>
    </w:p>
    <w:p w14:paraId="64E32413" w14:textId="77777777" w:rsidR="001531C3" w:rsidRDefault="001531C3" w:rsidP="001531C3">
      <w:pPr>
        <w:pStyle w:val="Default"/>
        <w:rPr>
          <w:color w:val="auto"/>
          <w:sz w:val="23"/>
          <w:szCs w:val="23"/>
        </w:rPr>
      </w:pPr>
      <w:r>
        <w:rPr>
          <w:rFonts w:ascii="Times New Roman" w:hAnsi="Times New Roman" w:cs="Times New Roman"/>
          <w:color w:val="auto"/>
          <w:sz w:val="23"/>
          <w:szCs w:val="23"/>
        </w:rPr>
        <w:t xml:space="preserve">Estudo projetado para verificação das características físicas, químicas, biológicas e microbiológicas de um produto farmacêutico durante e, opcionalmente, depois do prazo de validade esperado. Os resultados são usados para estabelecer ou confirmar o prazo de validade e recomendar as condições de armazenamento. </w:t>
      </w:r>
    </w:p>
    <w:p w14:paraId="78EBE289" w14:textId="77777777" w:rsidR="001531C3" w:rsidRDefault="001531C3" w:rsidP="001531C3">
      <w:pPr>
        <w:pStyle w:val="Default"/>
        <w:rPr>
          <w:color w:val="auto"/>
          <w:sz w:val="23"/>
          <w:szCs w:val="23"/>
        </w:rPr>
      </w:pPr>
      <w:r>
        <w:rPr>
          <w:color w:val="auto"/>
          <w:sz w:val="23"/>
          <w:szCs w:val="23"/>
        </w:rPr>
        <w:t xml:space="preserve">LOTE </w:t>
      </w:r>
    </w:p>
    <w:p w14:paraId="0C5EA8B8" w14:textId="77777777" w:rsidR="001531C3" w:rsidRDefault="001531C3" w:rsidP="001531C3">
      <w:pPr>
        <w:pStyle w:val="Default"/>
        <w:rPr>
          <w:color w:val="auto"/>
          <w:sz w:val="23"/>
          <w:szCs w:val="23"/>
        </w:rPr>
      </w:pPr>
      <w:r>
        <w:rPr>
          <w:rFonts w:ascii="Times New Roman" w:hAnsi="Times New Roman" w:cs="Times New Roman"/>
          <w:color w:val="auto"/>
          <w:sz w:val="23"/>
          <w:szCs w:val="23"/>
        </w:rPr>
        <w:t xml:space="preserve">Quantidade de um produto obtido em um único processo ou série de processos, cujas características essenciais são a homogeneidade e qualidade dentro dos limites especificados. </w:t>
      </w:r>
    </w:p>
    <w:p w14:paraId="267B5391" w14:textId="77777777" w:rsidR="001531C3" w:rsidRDefault="001531C3" w:rsidP="001531C3">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LOTE EM ESCALA PILOTO </w:t>
      </w:r>
    </w:p>
    <w:p w14:paraId="6441A868" w14:textId="77777777" w:rsidR="001531C3" w:rsidRDefault="001531C3" w:rsidP="001531C3">
      <w:pPr>
        <w:pStyle w:val="Default"/>
        <w:rPr>
          <w:color w:val="auto"/>
          <w:sz w:val="23"/>
          <w:szCs w:val="23"/>
        </w:rPr>
      </w:pPr>
      <w:r>
        <w:rPr>
          <w:rFonts w:ascii="Times New Roman" w:hAnsi="Times New Roman" w:cs="Times New Roman"/>
          <w:color w:val="auto"/>
          <w:sz w:val="23"/>
          <w:szCs w:val="23"/>
        </w:rPr>
        <w:t xml:space="preserve">Um lote de produto farmacêutico produzido por um processo totalmente representativo simulando o lote de produção industrial e estabelecido por uma quantidade mínima equivalente a 10% do lote industrial previsto, ou quantidade equivalente à capacidade mínima do equipamento industrial a ser utilizado. </w:t>
      </w:r>
    </w:p>
    <w:p w14:paraId="45E6899A" w14:textId="77777777" w:rsidR="001531C3" w:rsidRDefault="001531C3" w:rsidP="001531C3">
      <w:pPr>
        <w:pStyle w:val="Default"/>
        <w:rPr>
          <w:color w:val="auto"/>
          <w:sz w:val="23"/>
          <w:szCs w:val="23"/>
        </w:rPr>
      </w:pPr>
      <w:r>
        <w:rPr>
          <w:color w:val="auto"/>
          <w:sz w:val="23"/>
          <w:szCs w:val="23"/>
        </w:rPr>
        <w:t xml:space="preserve">PRAZO DE VALIDADE </w:t>
      </w:r>
    </w:p>
    <w:p w14:paraId="3839C165" w14:textId="77777777" w:rsidR="001531C3" w:rsidRDefault="001531C3" w:rsidP="001531C3">
      <w:pPr>
        <w:pStyle w:val="Default"/>
        <w:rPr>
          <w:color w:val="auto"/>
          <w:sz w:val="23"/>
          <w:szCs w:val="23"/>
        </w:rPr>
      </w:pPr>
      <w:r>
        <w:rPr>
          <w:rFonts w:ascii="Times New Roman" w:hAnsi="Times New Roman" w:cs="Times New Roman"/>
          <w:color w:val="auto"/>
          <w:sz w:val="23"/>
          <w:szCs w:val="23"/>
        </w:rPr>
        <w:t xml:space="preserve">Data limite para a utilização de um produto farmacêutico definida pelo fabricante, com base nos seus respectivos testes de estabilidade, mantidas as condições de armazenamento e transporte estabelecidos. </w:t>
      </w:r>
    </w:p>
    <w:p w14:paraId="1ABD217A" w14:textId="77777777" w:rsidR="001531C3" w:rsidRDefault="001531C3" w:rsidP="001531C3">
      <w:pPr>
        <w:pStyle w:val="Default"/>
        <w:rPr>
          <w:color w:val="auto"/>
          <w:sz w:val="23"/>
          <w:szCs w:val="23"/>
        </w:rPr>
      </w:pPr>
      <w:r>
        <w:rPr>
          <w:color w:val="auto"/>
          <w:sz w:val="23"/>
          <w:szCs w:val="23"/>
        </w:rPr>
        <w:t xml:space="preserve">TESTE DE ESTABILIDADE </w:t>
      </w:r>
    </w:p>
    <w:p w14:paraId="64B9FA5E" w14:textId="77777777" w:rsidR="001531C3" w:rsidRDefault="001531C3" w:rsidP="001531C3">
      <w:pPr>
        <w:pStyle w:val="Default"/>
        <w:rPr>
          <w:color w:val="auto"/>
          <w:sz w:val="23"/>
          <w:szCs w:val="23"/>
        </w:rPr>
      </w:pPr>
      <w:r>
        <w:rPr>
          <w:rFonts w:ascii="Times New Roman" w:hAnsi="Times New Roman" w:cs="Times New Roman"/>
          <w:color w:val="auto"/>
          <w:sz w:val="23"/>
          <w:szCs w:val="23"/>
        </w:rPr>
        <w:t xml:space="preserve">Conjunto de testes projetados para obter informações sobre a estabilidade de produtos farmacêuticos visando definir seu prazo de validade e período de utilização em embalagem e condições de armazenamento especificadas. </w:t>
      </w:r>
    </w:p>
    <w:p w14:paraId="4DC6D911" w14:textId="77777777" w:rsidR="001531C3" w:rsidRDefault="001531C3" w:rsidP="001531C3">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2. DISPOSIÇÕES GERAIS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970"/>
        <w:gridCol w:w="1970"/>
        <w:gridCol w:w="1970"/>
        <w:gridCol w:w="1970"/>
        <w:gridCol w:w="1970"/>
      </w:tblGrid>
      <w:tr w:rsidR="001531C3" w14:paraId="3B41B987" w14:textId="77777777">
        <w:tblPrEx>
          <w:tblCellMar>
            <w:top w:w="0" w:type="dxa"/>
            <w:bottom w:w="0" w:type="dxa"/>
          </w:tblCellMar>
        </w:tblPrEx>
        <w:trPr>
          <w:trHeight w:val="385"/>
        </w:trPr>
        <w:tc>
          <w:tcPr>
            <w:tcW w:w="1970" w:type="dxa"/>
          </w:tcPr>
          <w:p w14:paraId="608230BF" w14:textId="77777777" w:rsidR="001531C3" w:rsidRDefault="001531C3">
            <w:pPr>
              <w:pStyle w:val="Default"/>
              <w:rPr>
                <w:sz w:val="23"/>
                <w:szCs w:val="23"/>
              </w:rPr>
            </w:pPr>
            <w:r>
              <w:rPr>
                <w:rFonts w:ascii="Times New Roman" w:hAnsi="Times New Roman" w:cs="Times New Roman"/>
                <w:color w:val="auto"/>
                <w:sz w:val="23"/>
                <w:szCs w:val="23"/>
              </w:rPr>
              <w:t xml:space="preserve">2.1 O prazo de validade de um produto a ser comercializado no Brasil é determinado por um estudo de estabilidade de longa duração de acordo com os parâmetros definidos em tabela abaixo. Por ocasião do registro poderá ser concedido um prazo de validade provisório de 24 meses se aprovado o relatório de estudo de estabilidade de longa duração de 12 meses ou relatório de estudo de estabilidade acelerado de 6 meses acompanhado dos resultados </w:t>
            </w:r>
            <w:r>
              <w:rPr>
                <w:rFonts w:ascii="Times New Roman" w:hAnsi="Times New Roman" w:cs="Times New Roman"/>
                <w:color w:val="auto"/>
                <w:sz w:val="23"/>
                <w:szCs w:val="23"/>
              </w:rPr>
              <w:lastRenderedPageBreak/>
              <w:t xml:space="preserve">preliminares do estudo de longa duração com, conforme parâmetros definidos em tabela abaixo. </w:t>
            </w:r>
            <w:r>
              <w:rPr>
                <w:rFonts w:ascii="Times New Roman" w:hAnsi="Times New Roman" w:cs="Times New Roman"/>
                <w:sz w:val="23"/>
                <w:szCs w:val="23"/>
              </w:rPr>
              <w:t xml:space="preserve">Forma Farmacêutica </w:t>
            </w:r>
          </w:p>
        </w:tc>
        <w:tc>
          <w:tcPr>
            <w:tcW w:w="1970" w:type="dxa"/>
          </w:tcPr>
          <w:p w14:paraId="7D950BD7" w14:textId="77777777" w:rsidR="001531C3" w:rsidRDefault="001531C3">
            <w:pPr>
              <w:pStyle w:val="Default"/>
              <w:rPr>
                <w:sz w:val="23"/>
                <w:szCs w:val="23"/>
              </w:rPr>
            </w:pPr>
            <w:r>
              <w:rPr>
                <w:rFonts w:ascii="Times New Roman" w:hAnsi="Times New Roman" w:cs="Times New Roman"/>
                <w:sz w:val="23"/>
                <w:szCs w:val="23"/>
              </w:rPr>
              <w:lastRenderedPageBreak/>
              <w:t xml:space="preserve">Condição de armazenamento * </w:t>
            </w:r>
          </w:p>
        </w:tc>
        <w:tc>
          <w:tcPr>
            <w:tcW w:w="1970" w:type="dxa"/>
          </w:tcPr>
          <w:p w14:paraId="59F42BFE" w14:textId="77777777" w:rsidR="001531C3" w:rsidRDefault="001531C3">
            <w:pPr>
              <w:pStyle w:val="Default"/>
              <w:rPr>
                <w:rFonts w:ascii="Times New Roman" w:hAnsi="Times New Roman" w:cs="Times New Roman"/>
                <w:sz w:val="23"/>
                <w:szCs w:val="23"/>
              </w:rPr>
            </w:pPr>
            <w:r>
              <w:rPr>
                <w:rFonts w:ascii="Times New Roman" w:hAnsi="Times New Roman" w:cs="Times New Roman"/>
                <w:sz w:val="23"/>
                <w:szCs w:val="23"/>
              </w:rPr>
              <w:t xml:space="preserve">Embalagem </w:t>
            </w:r>
          </w:p>
        </w:tc>
        <w:tc>
          <w:tcPr>
            <w:tcW w:w="1970" w:type="dxa"/>
          </w:tcPr>
          <w:p w14:paraId="074896E7" w14:textId="77777777" w:rsidR="001531C3" w:rsidRDefault="001531C3">
            <w:pPr>
              <w:pStyle w:val="Default"/>
              <w:rPr>
                <w:sz w:val="23"/>
                <w:szCs w:val="23"/>
              </w:rPr>
            </w:pPr>
            <w:proofErr w:type="gramStart"/>
            <w:r>
              <w:rPr>
                <w:rFonts w:ascii="Times New Roman" w:hAnsi="Times New Roman" w:cs="Times New Roman"/>
                <w:sz w:val="23"/>
                <w:szCs w:val="23"/>
              </w:rPr>
              <w:t>Temperatura e umidade Acelerado</w:t>
            </w:r>
            <w:proofErr w:type="gramEnd"/>
            <w:r>
              <w:rPr>
                <w:rFonts w:ascii="Times New Roman" w:hAnsi="Times New Roman" w:cs="Times New Roman"/>
                <w:sz w:val="23"/>
                <w:szCs w:val="23"/>
              </w:rPr>
              <w:t xml:space="preserve"> ** </w:t>
            </w:r>
          </w:p>
        </w:tc>
        <w:tc>
          <w:tcPr>
            <w:tcW w:w="1970" w:type="dxa"/>
          </w:tcPr>
          <w:p w14:paraId="06D1D76A" w14:textId="77777777" w:rsidR="001531C3" w:rsidRDefault="001531C3">
            <w:pPr>
              <w:pStyle w:val="Default"/>
              <w:rPr>
                <w:sz w:val="23"/>
                <w:szCs w:val="23"/>
              </w:rPr>
            </w:pPr>
            <w:proofErr w:type="gramStart"/>
            <w:r>
              <w:rPr>
                <w:rFonts w:ascii="Times New Roman" w:hAnsi="Times New Roman" w:cs="Times New Roman"/>
                <w:sz w:val="23"/>
                <w:szCs w:val="23"/>
              </w:rPr>
              <w:t>Temperatura e umidade Longa</w:t>
            </w:r>
            <w:proofErr w:type="gramEnd"/>
            <w:r>
              <w:rPr>
                <w:rFonts w:ascii="Times New Roman" w:hAnsi="Times New Roman" w:cs="Times New Roman"/>
                <w:sz w:val="23"/>
                <w:szCs w:val="23"/>
              </w:rPr>
              <w:t xml:space="preserve"> Duração ** </w:t>
            </w:r>
          </w:p>
        </w:tc>
      </w:tr>
      <w:tr w:rsidR="001531C3" w14:paraId="43C3561D" w14:textId="77777777">
        <w:tblPrEx>
          <w:tblCellMar>
            <w:top w:w="0" w:type="dxa"/>
            <w:bottom w:w="0" w:type="dxa"/>
          </w:tblCellMar>
        </w:tblPrEx>
        <w:trPr>
          <w:trHeight w:val="247"/>
        </w:trPr>
        <w:tc>
          <w:tcPr>
            <w:tcW w:w="1970" w:type="dxa"/>
          </w:tcPr>
          <w:p w14:paraId="63773679" w14:textId="77777777" w:rsidR="001531C3" w:rsidRDefault="001531C3">
            <w:pPr>
              <w:pStyle w:val="Default"/>
              <w:rPr>
                <w:rFonts w:ascii="Times New Roman" w:hAnsi="Times New Roman" w:cs="Times New Roman"/>
                <w:sz w:val="23"/>
                <w:szCs w:val="23"/>
              </w:rPr>
            </w:pPr>
            <w:r>
              <w:rPr>
                <w:rFonts w:ascii="Times New Roman" w:hAnsi="Times New Roman" w:cs="Times New Roman"/>
                <w:sz w:val="23"/>
                <w:szCs w:val="23"/>
              </w:rPr>
              <w:t xml:space="preserve">Sólido </w:t>
            </w:r>
          </w:p>
        </w:tc>
        <w:tc>
          <w:tcPr>
            <w:tcW w:w="1970" w:type="dxa"/>
          </w:tcPr>
          <w:p w14:paraId="6F71B644" w14:textId="77777777" w:rsidR="001531C3" w:rsidRDefault="001531C3">
            <w:pPr>
              <w:pStyle w:val="Default"/>
              <w:rPr>
                <w:sz w:val="26"/>
                <w:szCs w:val="26"/>
              </w:rPr>
            </w:pPr>
            <w:r>
              <w:rPr>
                <w:rFonts w:ascii="Times New Roman" w:hAnsi="Times New Roman" w:cs="Times New Roman"/>
                <w:sz w:val="23"/>
                <w:szCs w:val="23"/>
              </w:rPr>
              <w:t>15</w:t>
            </w:r>
            <w:r>
              <w:rPr>
                <w:rFonts w:ascii="Times New Roman" w:hAnsi="Times New Roman" w:cs="Times New Roman"/>
                <w:sz w:val="26"/>
                <w:szCs w:val="26"/>
              </w:rPr>
              <w:t xml:space="preserve">ºC -30ºC </w:t>
            </w:r>
          </w:p>
        </w:tc>
        <w:tc>
          <w:tcPr>
            <w:tcW w:w="1970" w:type="dxa"/>
          </w:tcPr>
          <w:p w14:paraId="786A47A2" w14:textId="77777777" w:rsidR="001531C3" w:rsidRDefault="001531C3">
            <w:pPr>
              <w:pStyle w:val="Default"/>
              <w:rPr>
                <w:sz w:val="23"/>
                <w:szCs w:val="23"/>
              </w:rPr>
            </w:pPr>
            <w:proofErr w:type="spellStart"/>
            <w:r>
              <w:rPr>
                <w:rFonts w:ascii="Times New Roman" w:hAnsi="Times New Roman" w:cs="Times New Roman"/>
                <w:sz w:val="23"/>
                <w:szCs w:val="23"/>
              </w:rPr>
              <w:t>Semi-permeável</w:t>
            </w:r>
            <w:proofErr w:type="spellEnd"/>
            <w:r>
              <w:rPr>
                <w:rFonts w:ascii="Times New Roman" w:hAnsi="Times New Roman" w:cs="Times New Roman"/>
                <w:sz w:val="23"/>
                <w:szCs w:val="23"/>
              </w:rPr>
              <w:t xml:space="preserve"> </w:t>
            </w:r>
          </w:p>
        </w:tc>
        <w:tc>
          <w:tcPr>
            <w:tcW w:w="1970" w:type="dxa"/>
          </w:tcPr>
          <w:p w14:paraId="204B18A6" w14:textId="77777777" w:rsidR="001531C3" w:rsidRDefault="001531C3">
            <w:pPr>
              <w:pStyle w:val="Default"/>
              <w:rPr>
                <w:sz w:val="23"/>
                <w:szCs w:val="23"/>
              </w:rPr>
            </w:pPr>
            <w:r>
              <w:rPr>
                <w:rFonts w:ascii="Times New Roman" w:hAnsi="Times New Roman" w:cs="Times New Roman"/>
                <w:sz w:val="23"/>
                <w:szCs w:val="23"/>
              </w:rPr>
              <w:t xml:space="preserve">40ºC ± 2°C / 75% UR ± 5% </w:t>
            </w:r>
          </w:p>
        </w:tc>
        <w:tc>
          <w:tcPr>
            <w:tcW w:w="1970" w:type="dxa"/>
          </w:tcPr>
          <w:p w14:paraId="7BFD6973" w14:textId="77777777" w:rsidR="001531C3" w:rsidRDefault="001531C3">
            <w:pPr>
              <w:pStyle w:val="Default"/>
              <w:rPr>
                <w:sz w:val="23"/>
                <w:szCs w:val="23"/>
              </w:rPr>
            </w:pPr>
            <w:r>
              <w:rPr>
                <w:rFonts w:ascii="Times New Roman" w:hAnsi="Times New Roman" w:cs="Times New Roman"/>
                <w:sz w:val="23"/>
                <w:szCs w:val="23"/>
              </w:rPr>
              <w:t xml:space="preserve">30ºC ± 2°C / 75% UR ± 5% </w:t>
            </w:r>
          </w:p>
        </w:tc>
      </w:tr>
      <w:tr w:rsidR="001531C3" w14:paraId="49262040" w14:textId="77777777">
        <w:tblPrEx>
          <w:tblCellMar>
            <w:top w:w="0" w:type="dxa"/>
            <w:bottom w:w="0" w:type="dxa"/>
          </w:tblCellMar>
        </w:tblPrEx>
        <w:trPr>
          <w:trHeight w:val="120"/>
        </w:trPr>
        <w:tc>
          <w:tcPr>
            <w:tcW w:w="1970" w:type="dxa"/>
          </w:tcPr>
          <w:p w14:paraId="37CB81C2" w14:textId="77777777" w:rsidR="001531C3" w:rsidRDefault="001531C3">
            <w:pPr>
              <w:pStyle w:val="Default"/>
              <w:rPr>
                <w:rFonts w:ascii="Times New Roman" w:hAnsi="Times New Roman" w:cs="Times New Roman"/>
                <w:sz w:val="23"/>
                <w:szCs w:val="23"/>
              </w:rPr>
            </w:pPr>
            <w:r>
              <w:rPr>
                <w:rFonts w:ascii="Times New Roman" w:hAnsi="Times New Roman" w:cs="Times New Roman"/>
                <w:sz w:val="23"/>
                <w:szCs w:val="23"/>
              </w:rPr>
              <w:t xml:space="preserve">Sólido </w:t>
            </w:r>
          </w:p>
        </w:tc>
        <w:tc>
          <w:tcPr>
            <w:tcW w:w="1970" w:type="dxa"/>
          </w:tcPr>
          <w:p w14:paraId="153DC68C" w14:textId="77777777" w:rsidR="001531C3" w:rsidRDefault="001531C3">
            <w:pPr>
              <w:pStyle w:val="Default"/>
              <w:rPr>
                <w:sz w:val="26"/>
                <w:szCs w:val="26"/>
              </w:rPr>
            </w:pPr>
            <w:r>
              <w:rPr>
                <w:rFonts w:ascii="Times New Roman" w:hAnsi="Times New Roman" w:cs="Times New Roman"/>
                <w:sz w:val="23"/>
                <w:szCs w:val="23"/>
              </w:rPr>
              <w:t>15</w:t>
            </w:r>
            <w:r>
              <w:rPr>
                <w:rFonts w:ascii="Times New Roman" w:hAnsi="Times New Roman" w:cs="Times New Roman"/>
                <w:sz w:val="26"/>
                <w:szCs w:val="26"/>
              </w:rPr>
              <w:t xml:space="preserve">ºC -30ºC </w:t>
            </w:r>
          </w:p>
        </w:tc>
        <w:tc>
          <w:tcPr>
            <w:tcW w:w="1970" w:type="dxa"/>
          </w:tcPr>
          <w:p w14:paraId="7DF69EE1" w14:textId="77777777" w:rsidR="001531C3" w:rsidRDefault="001531C3">
            <w:pPr>
              <w:pStyle w:val="Default"/>
              <w:rPr>
                <w:rFonts w:ascii="Times New Roman" w:hAnsi="Times New Roman" w:cs="Times New Roman"/>
                <w:sz w:val="23"/>
                <w:szCs w:val="23"/>
              </w:rPr>
            </w:pPr>
            <w:r>
              <w:rPr>
                <w:rFonts w:ascii="Times New Roman" w:hAnsi="Times New Roman" w:cs="Times New Roman"/>
                <w:sz w:val="23"/>
                <w:szCs w:val="23"/>
              </w:rPr>
              <w:t xml:space="preserve">Impermeável </w:t>
            </w:r>
          </w:p>
        </w:tc>
        <w:tc>
          <w:tcPr>
            <w:tcW w:w="1970" w:type="dxa"/>
          </w:tcPr>
          <w:p w14:paraId="793A1C84" w14:textId="77777777" w:rsidR="001531C3" w:rsidRDefault="001531C3">
            <w:pPr>
              <w:pStyle w:val="Default"/>
              <w:rPr>
                <w:sz w:val="23"/>
                <w:szCs w:val="23"/>
              </w:rPr>
            </w:pPr>
            <w:r>
              <w:rPr>
                <w:rFonts w:ascii="Times New Roman" w:hAnsi="Times New Roman" w:cs="Times New Roman"/>
                <w:sz w:val="23"/>
                <w:szCs w:val="23"/>
              </w:rPr>
              <w:t xml:space="preserve">40ºC ± 2º C </w:t>
            </w:r>
          </w:p>
        </w:tc>
        <w:tc>
          <w:tcPr>
            <w:tcW w:w="1970" w:type="dxa"/>
          </w:tcPr>
          <w:p w14:paraId="4564DAAE" w14:textId="77777777" w:rsidR="001531C3" w:rsidRDefault="001531C3">
            <w:pPr>
              <w:pStyle w:val="Default"/>
              <w:rPr>
                <w:sz w:val="23"/>
                <w:szCs w:val="23"/>
              </w:rPr>
            </w:pPr>
            <w:r>
              <w:rPr>
                <w:rFonts w:ascii="Times New Roman" w:hAnsi="Times New Roman" w:cs="Times New Roman"/>
                <w:sz w:val="23"/>
                <w:szCs w:val="23"/>
              </w:rPr>
              <w:t xml:space="preserve">30º ± 2º C </w:t>
            </w:r>
          </w:p>
        </w:tc>
      </w:tr>
    </w:tbl>
    <w:p w14:paraId="0D55F1F4" w14:textId="77777777" w:rsidR="005A36BF" w:rsidRDefault="005A36BF">
      <w:bookmarkStart w:id="0" w:name="_GoBack"/>
      <w:bookmarkEnd w:id="0"/>
    </w:p>
    <w:sectPr w:rsidR="005A36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AF"/>
    <w:rsid w:val="001531C3"/>
    <w:rsid w:val="002F09AF"/>
    <w:rsid w:val="005A3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4FDA1-D9AA-4D6B-A518-74F099EE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1531C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711</Words>
  <Characters>3842</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3</cp:revision>
  <dcterms:created xsi:type="dcterms:W3CDTF">2019-02-06T11:51:00Z</dcterms:created>
  <dcterms:modified xsi:type="dcterms:W3CDTF">2019-02-06T11:52:00Z</dcterms:modified>
</cp:coreProperties>
</file>