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1E1" w:rsidRPr="00CB3DBE" w:rsidRDefault="00986C53" w:rsidP="00986C5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B3DBE">
        <w:rPr>
          <w:rFonts w:ascii="Times New Roman" w:hAnsi="Times New Roman" w:cs="Times New Roman"/>
          <w:b/>
          <w:sz w:val="24"/>
          <w:szCs w:val="24"/>
        </w:rPr>
        <w:t>RESOLUÇÃO –</w:t>
      </w:r>
      <w:r w:rsidR="004D354B" w:rsidRPr="00CB3DBE">
        <w:rPr>
          <w:rFonts w:ascii="Times New Roman" w:hAnsi="Times New Roman" w:cs="Times New Roman"/>
          <w:b/>
          <w:sz w:val="24"/>
          <w:szCs w:val="24"/>
        </w:rPr>
        <w:t xml:space="preserve"> RE</w:t>
      </w:r>
      <w:r w:rsidRPr="00CB3DBE">
        <w:rPr>
          <w:rFonts w:ascii="Times New Roman" w:hAnsi="Times New Roman" w:cs="Times New Roman"/>
          <w:b/>
          <w:sz w:val="24"/>
          <w:szCs w:val="24"/>
        </w:rPr>
        <w:t xml:space="preserve"> Nº 321, DE 13 DE SETEMBRO DE 2004</w:t>
      </w:r>
    </w:p>
    <w:p w:rsidR="00986C53" w:rsidRPr="00CB3DBE" w:rsidRDefault="00986C53" w:rsidP="00986C53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CB3DB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(Publicada </w:t>
      </w:r>
      <w:r w:rsidR="008D272B">
        <w:rPr>
          <w:rFonts w:ascii="Times New Roman" w:hAnsi="Times New Roman" w:cs="Times New Roman"/>
          <w:b/>
          <w:color w:val="0000FF"/>
          <w:sz w:val="24"/>
          <w:szCs w:val="24"/>
        </w:rPr>
        <w:t>no</w:t>
      </w:r>
      <w:r w:rsidRPr="00CB3DB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DOU nº 178, de 15 de setembro de 2004)</w:t>
      </w:r>
    </w:p>
    <w:p w:rsidR="00B57D23" w:rsidRPr="00CB3DBE" w:rsidRDefault="00B57D23" w:rsidP="00986C53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DA46D2"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nº 48, de 6 de outubro de 2009)</w:t>
      </w:r>
      <w:bookmarkStart w:id="0" w:name="_GoBack"/>
      <w:bookmarkEnd w:id="0"/>
    </w:p>
    <w:p w:rsidR="00ED05D6" w:rsidRPr="00CB3DBE" w:rsidRDefault="00ED05D6" w:rsidP="00ED05D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B3DBE">
        <w:rPr>
          <w:rFonts w:ascii="Times New Roman" w:hAnsi="Times New Roman" w:cs="Times New Roman"/>
          <w:strike/>
          <w:sz w:val="24"/>
          <w:szCs w:val="24"/>
        </w:rPr>
        <w:t xml:space="preserve">O </w:t>
      </w:r>
      <w:r w:rsidRPr="00CB3DBE">
        <w:rPr>
          <w:rFonts w:ascii="Times New Roman" w:hAnsi="Times New Roman" w:cs="Times New Roman"/>
          <w:b/>
          <w:strike/>
          <w:sz w:val="24"/>
          <w:szCs w:val="24"/>
        </w:rPr>
        <w:t>Adjunto da Diretoria Colegiada da Agência Nacional de Vigilância Sanitária</w:t>
      </w:r>
      <w:r w:rsidRPr="00CB3DBE">
        <w:rPr>
          <w:rFonts w:ascii="Times New Roman" w:hAnsi="Times New Roman" w:cs="Times New Roman"/>
          <w:strike/>
          <w:sz w:val="24"/>
          <w:szCs w:val="24"/>
        </w:rPr>
        <w:t xml:space="preserve">, no uso da atribuição, que lhe confere a Portaria </w:t>
      </w:r>
      <w:proofErr w:type="gramStart"/>
      <w:r w:rsidRPr="00CB3DBE">
        <w:rPr>
          <w:rFonts w:ascii="Times New Roman" w:hAnsi="Times New Roman" w:cs="Times New Roman"/>
          <w:strike/>
          <w:sz w:val="24"/>
          <w:szCs w:val="24"/>
        </w:rPr>
        <w:t>n.º</w:t>
      </w:r>
      <w:proofErr w:type="gramEnd"/>
      <w:r w:rsidRPr="00CB3DBE">
        <w:rPr>
          <w:rFonts w:ascii="Times New Roman" w:hAnsi="Times New Roman" w:cs="Times New Roman"/>
          <w:strike/>
          <w:sz w:val="24"/>
          <w:szCs w:val="24"/>
        </w:rPr>
        <w:t xml:space="preserve"> 13, de 16 de janeiro de 2004, </w:t>
      </w:r>
    </w:p>
    <w:p w:rsidR="00ED05D6" w:rsidRPr="00CB3DBE" w:rsidRDefault="00ED05D6" w:rsidP="00ED05D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B3DBE">
        <w:rPr>
          <w:rFonts w:ascii="Times New Roman" w:hAnsi="Times New Roman" w:cs="Times New Roman"/>
          <w:strike/>
          <w:sz w:val="24"/>
          <w:szCs w:val="24"/>
        </w:rPr>
        <w:t xml:space="preserve">considerando o disposto no art.111, inciso II, alínea "a" § 3º do Regimento Interno, aprovado pela Portaria nº 593, de 25 de agosto de 2000, republicada no DOU de 22 de dezembro de 2000, </w:t>
      </w:r>
    </w:p>
    <w:p w:rsidR="00ED05D6" w:rsidRPr="00CB3DBE" w:rsidRDefault="00ED05D6" w:rsidP="00ED05D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B3DBE">
        <w:rPr>
          <w:rFonts w:ascii="Times New Roman" w:hAnsi="Times New Roman" w:cs="Times New Roman"/>
          <w:strike/>
          <w:sz w:val="24"/>
          <w:szCs w:val="24"/>
        </w:rPr>
        <w:t xml:space="preserve">considerando as definições estabelecidas pela legislação vigente que dispõe sobre o cumprimento das Boas Práticas para a Fabricação de medicamento, </w:t>
      </w:r>
    </w:p>
    <w:p w:rsidR="00ED05D6" w:rsidRPr="00CB3DBE" w:rsidRDefault="00ED05D6" w:rsidP="00ED05D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B3DBE">
        <w:rPr>
          <w:rFonts w:ascii="Times New Roman" w:hAnsi="Times New Roman" w:cs="Times New Roman"/>
          <w:strike/>
          <w:sz w:val="24"/>
          <w:szCs w:val="24"/>
        </w:rPr>
        <w:t xml:space="preserve">considerando a necessidade de atualizar os itens 2.6.10 e 3.11.10 da Resolução RE n° 893 de 29 de maio de 2003 e da 2.5.9 e 3.8.9 da Resolução RE n° 91 de 16 de março de 2004, resolve: </w:t>
      </w:r>
    </w:p>
    <w:p w:rsidR="00ED05D6" w:rsidRPr="00CB3DBE" w:rsidRDefault="00ED05D6" w:rsidP="00ED05D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B3DBE">
        <w:rPr>
          <w:rFonts w:ascii="Times New Roman" w:hAnsi="Times New Roman" w:cs="Times New Roman"/>
          <w:strike/>
          <w:sz w:val="24"/>
          <w:szCs w:val="24"/>
        </w:rPr>
        <w:t xml:space="preserve">Art. 1º Não será exigido a apresentação dos resultados do teste de estabilidade acelerado prévio conforme a exigência expressa nos itens 2.6.10 e 3.11.10 da Resolução RE n° 893 de 29 de maio de 2003 e 2.5.9 e 3.8.9 da Resolução RE n° 91 de 16 de março de 2004, nos casos em que a alteração ou inclusão de local de fabrico ocorrer dentro da mesma zona climática, o desenho, princípio de funcionamento dos equipamentos e processo de produção se mantiverem os mesmos. </w:t>
      </w:r>
    </w:p>
    <w:p w:rsidR="00ED05D6" w:rsidRPr="00CB3DBE" w:rsidRDefault="00ED05D6" w:rsidP="00ED05D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B3DBE">
        <w:rPr>
          <w:rFonts w:ascii="Times New Roman" w:hAnsi="Times New Roman" w:cs="Times New Roman"/>
          <w:strike/>
          <w:sz w:val="24"/>
          <w:szCs w:val="24"/>
        </w:rPr>
        <w:t xml:space="preserve">Parágrafo único: Nos casos descritos no caput deste artigo, a empresa deve apresentar um cronograma de execução do estudo de estabilidade de longa duração referente a um lote da maior e menor concentração, quando aplicável, produzido no novo local de fabricação, conforme o GUIA PARA A REALIZAÇÃO DE ESTUDOS DE ESTABILIDADE DE MEDICAMENTOS “. </w:t>
      </w:r>
    </w:p>
    <w:p w:rsidR="00ED05D6" w:rsidRPr="00CB3DBE" w:rsidRDefault="00ED05D6" w:rsidP="00ED05D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B3DBE">
        <w:rPr>
          <w:rFonts w:ascii="Times New Roman" w:hAnsi="Times New Roman" w:cs="Times New Roman"/>
          <w:strike/>
          <w:sz w:val="24"/>
          <w:szCs w:val="24"/>
        </w:rPr>
        <w:t xml:space="preserve">Art. 2º Os resultados não-conformes devem ser informados a Anvisa, que em conjunto com a empresa decidirá sobre a necessidade ou não de recolhimento do produto. </w:t>
      </w:r>
    </w:p>
    <w:p w:rsidR="00ED05D6" w:rsidRPr="00CB3DBE" w:rsidRDefault="00ED05D6" w:rsidP="00ED05D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B3DBE">
        <w:rPr>
          <w:rFonts w:ascii="Times New Roman" w:hAnsi="Times New Roman" w:cs="Times New Roman"/>
          <w:strike/>
          <w:sz w:val="24"/>
          <w:szCs w:val="24"/>
        </w:rPr>
        <w:t xml:space="preserve">Art 3° As empresas que não apresentarem os resultados preliminares ou finais do estudo de estabilidade de longa duração não terão o registro dos produtos renovados. </w:t>
      </w:r>
    </w:p>
    <w:p w:rsidR="00ED05D6" w:rsidRPr="00CB3DBE" w:rsidRDefault="00ED05D6" w:rsidP="00ED05D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B3DBE">
        <w:rPr>
          <w:rFonts w:ascii="Times New Roman" w:hAnsi="Times New Roman" w:cs="Times New Roman"/>
          <w:strike/>
          <w:sz w:val="24"/>
          <w:szCs w:val="24"/>
        </w:rPr>
        <w:t xml:space="preserve">Art 4° Esta resolução entra em vigor na data de sua publicação. </w:t>
      </w:r>
    </w:p>
    <w:p w:rsidR="00ED05D6" w:rsidRPr="000424A4" w:rsidRDefault="00ED05D6" w:rsidP="00ED05D6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  <w:r w:rsidRPr="000424A4">
        <w:rPr>
          <w:rFonts w:ascii="Times New Roman" w:hAnsi="Times New Roman" w:cs="Times New Roman"/>
          <w:b/>
          <w:strike/>
          <w:sz w:val="24"/>
          <w:szCs w:val="24"/>
        </w:rPr>
        <w:t>DAVI RUMEL</w:t>
      </w:r>
    </w:p>
    <w:sectPr w:rsidR="00ED05D6" w:rsidRPr="000424A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3DBE" w:rsidRDefault="00CB3DBE" w:rsidP="00CB3DBE">
      <w:pPr>
        <w:spacing w:after="0" w:line="240" w:lineRule="auto"/>
      </w:pPr>
      <w:r>
        <w:separator/>
      </w:r>
    </w:p>
  </w:endnote>
  <w:endnote w:type="continuationSeparator" w:id="0">
    <w:p w:rsidR="00CB3DBE" w:rsidRDefault="00CB3DBE" w:rsidP="00CB3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6C8D" w:rsidRDefault="00096C8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3DBE" w:rsidRDefault="00CB3DBE" w:rsidP="00CB3DBE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CB3DBE" w:rsidRDefault="00CB3DBE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6C8D" w:rsidRDefault="00096C8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3DBE" w:rsidRDefault="00CB3DBE" w:rsidP="00CB3DBE">
      <w:pPr>
        <w:spacing w:after="0" w:line="240" w:lineRule="auto"/>
      </w:pPr>
      <w:r>
        <w:separator/>
      </w:r>
    </w:p>
  </w:footnote>
  <w:footnote w:type="continuationSeparator" w:id="0">
    <w:p w:rsidR="00CB3DBE" w:rsidRDefault="00CB3DBE" w:rsidP="00CB3D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6C8D" w:rsidRDefault="00096C8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3DBE" w:rsidRDefault="00CB3DBE" w:rsidP="00CB3DBE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>
          <wp:extent cx="655320" cy="647065"/>
          <wp:effectExtent l="0" t="0" r="0" b="635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5320" cy="647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B3DBE" w:rsidRDefault="00CB3DBE" w:rsidP="00CB3DBE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>
      <w:rPr>
        <w:rFonts w:ascii="Calibri" w:eastAsia="Times New Roman" w:hAnsi="Calibri" w:cs="Times New Roman"/>
        <w:b/>
        <w:sz w:val="24"/>
      </w:rPr>
      <w:t>Ministério da Saúde - MS</w:t>
    </w:r>
  </w:p>
  <w:p w:rsidR="00CB3DBE" w:rsidRDefault="00CB3DBE" w:rsidP="00CB3DBE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CB3DBE" w:rsidRDefault="00CB3DBE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6C8D" w:rsidRDefault="00096C8D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C53"/>
    <w:rsid w:val="000424A4"/>
    <w:rsid w:val="00096C8D"/>
    <w:rsid w:val="001E708B"/>
    <w:rsid w:val="00253178"/>
    <w:rsid w:val="004D354B"/>
    <w:rsid w:val="00686750"/>
    <w:rsid w:val="007441BF"/>
    <w:rsid w:val="00786686"/>
    <w:rsid w:val="008D272B"/>
    <w:rsid w:val="00986C53"/>
    <w:rsid w:val="00B30817"/>
    <w:rsid w:val="00B57D23"/>
    <w:rsid w:val="00B95789"/>
    <w:rsid w:val="00C906DF"/>
    <w:rsid w:val="00CB3DBE"/>
    <w:rsid w:val="00D621E1"/>
    <w:rsid w:val="00DA46D2"/>
    <w:rsid w:val="00E433D8"/>
    <w:rsid w:val="00ED05D6"/>
    <w:rsid w:val="00F25EAD"/>
    <w:rsid w:val="00FB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813EE71"/>
  <w15:docId w15:val="{BA34BE69-0DBD-4C06-AEC6-7C27D1C1B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B3D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B3DBE"/>
  </w:style>
  <w:style w:type="paragraph" w:styleId="Rodap">
    <w:name w:val="footer"/>
    <w:basedOn w:val="Normal"/>
    <w:link w:val="RodapChar"/>
    <w:uiPriority w:val="99"/>
    <w:unhideWhenUsed/>
    <w:rsid w:val="00CB3D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B3D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customXml" Target="../customXml/item2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customXml" Target="../customXml/item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D40FBC-1859-4F16-8C53-CBB30ACDBC93}"/>
</file>

<file path=customXml/itemProps2.xml><?xml version="1.0" encoding="utf-8"?>
<ds:datastoreItem xmlns:ds="http://schemas.openxmlformats.org/officeDocument/2006/customXml" ds:itemID="{1F68899D-99A3-4397-ACB8-CFAD8A62F247}"/>
</file>

<file path=customXml/itemProps3.xml><?xml version="1.0" encoding="utf-8"?>
<ds:datastoreItem xmlns:ds="http://schemas.openxmlformats.org/officeDocument/2006/customXml" ds:itemID="{D1B381F7-6A1C-4FDC-80A1-545D10C5B42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322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Cinthya Simone da Paz Elgrably</cp:lastModifiedBy>
  <cp:revision>14</cp:revision>
  <dcterms:created xsi:type="dcterms:W3CDTF">2015-10-19T23:07:00Z</dcterms:created>
  <dcterms:modified xsi:type="dcterms:W3CDTF">2017-05-25T14:30:00Z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