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9E2741" w:rsidRDefault="00FC21FE" w:rsidP="009E2741">
      <w:pPr>
        <w:jc w:val="center"/>
        <w:rPr>
          <w:rFonts w:ascii="Times New Roman" w:hAnsi="Times New Roman" w:cs="Times New Roman"/>
          <w:b/>
          <w:sz w:val="24"/>
        </w:rPr>
      </w:pPr>
      <w:r w:rsidRPr="009E2741">
        <w:rPr>
          <w:rFonts w:ascii="Times New Roman" w:hAnsi="Times New Roman" w:cs="Times New Roman"/>
          <w:b/>
          <w:sz w:val="24"/>
        </w:rPr>
        <w:t xml:space="preserve">INSTRUÇÃO NORMATIVA Nº </w:t>
      </w:r>
      <w:r w:rsidR="003B3398">
        <w:rPr>
          <w:rFonts w:ascii="Times New Roman" w:hAnsi="Times New Roman" w:cs="Times New Roman"/>
          <w:b/>
          <w:sz w:val="24"/>
        </w:rPr>
        <w:t>2</w:t>
      </w:r>
      <w:r w:rsidR="009A0C9E" w:rsidRPr="009E2741">
        <w:rPr>
          <w:rFonts w:ascii="Times New Roman" w:hAnsi="Times New Roman" w:cs="Times New Roman"/>
          <w:b/>
          <w:sz w:val="24"/>
        </w:rPr>
        <w:t xml:space="preserve">, DE </w:t>
      </w:r>
      <w:r w:rsidR="003B3398">
        <w:rPr>
          <w:rFonts w:ascii="Times New Roman" w:hAnsi="Times New Roman" w:cs="Times New Roman"/>
          <w:b/>
          <w:sz w:val="24"/>
        </w:rPr>
        <w:t>4</w:t>
      </w:r>
      <w:r w:rsidR="009A0C9E" w:rsidRPr="009E2741">
        <w:rPr>
          <w:rFonts w:ascii="Times New Roman" w:hAnsi="Times New Roman" w:cs="Times New Roman"/>
          <w:b/>
          <w:sz w:val="24"/>
        </w:rPr>
        <w:t xml:space="preserve"> DE AGOSTO DE 2015</w:t>
      </w:r>
    </w:p>
    <w:p w:rsidR="009A0C9E" w:rsidRPr="00FC21FE" w:rsidRDefault="009A0C9E" w:rsidP="009A0C9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C21F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164, de 27 de agosto de 2015)</w:t>
      </w:r>
    </w:p>
    <w:p w:rsidR="0096256B" w:rsidRDefault="0096256B" w:rsidP="0096256B">
      <w:pPr>
        <w:spacing w:before="300" w:after="300" w:line="240" w:lineRule="auto"/>
        <w:ind w:left="396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Dispõe sobre os produtos para saúde, produtos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de higiene, cosméticos e/ou alimentos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cuja fabricação em instalações e equipamentos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pode ser compartilhada com medicamentos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de uso humano, obedecendo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aos requerimentos da legislação sanitária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vigente, independente de autorização prévia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da Anvisa.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 Diretoria Colegiada da Agência Nacional de Vigilância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Sanitária, no uso das atribuições que lhe conferem os incisos III e IV,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do art. 15 da Lei nº 9.782, de 26 de janeiro de 1999, o inciso VI, 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os §§ 1º e 3º do art. 58 do Regimento Interno aprovado nos termos 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Anexo I da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Resolucão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da Diretoria Colegiada - RDC nº 29, de 21 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julho de 2015, publicada no D. O. U. de 23 de julho de 2015, tendo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em vista o disposto nos incisos III do art. 2º, III e IV, do art. 7º da Lei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nº 9.782, de 1999, e o Programa de Melhoria do Processo de Regulamentação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da Agência, instituído por meio da Portaria nº 422, 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16 de abril de 2008, em Reunião Ordinária n.º 13/2015, realizada em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16 de julho de 2015, adota a seguinte Instrução Normativa e eu,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Diretor - Presidente determino a sua publicação: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1º Os produtos para saúde, produtos de higiene, cosméticos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e/ou alimentos cuja fabricação compartilhada é preliminarmente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admitida como possível pela Anvisa em áreas produtivas 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equipamentos destinados à fabricação de medicamentos são citados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abaixo: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I - </w:t>
      </w:r>
      <w:proofErr w:type="gramStart"/>
      <w:r w:rsidRPr="0096256B">
        <w:rPr>
          <w:rFonts w:ascii="Times New Roman" w:hAnsi="Times New Roman" w:cs="Times New Roman"/>
          <w:spacing w:val="-2"/>
          <w:sz w:val="24"/>
          <w:szCs w:val="24"/>
        </w:rPr>
        <w:t>lubrificantes</w:t>
      </w:r>
      <w:proofErr w:type="gram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íntimos, adesivos para uso tópico, clareadores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dentais, clareadores dentais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intra-canais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, soluções para limpeza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 desinfecção de lentes de contato, no que se refere a Produtos para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Saúde;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II - água oxigenada 10 a 40 volumes, bloqueadores/ protetores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solares, clareadores de pele, condicionadores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anticaspa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antiqueda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dentifrícios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anticárie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antiplaca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antitártaro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/ para dentes sensíveis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clareadores,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enxaguatórios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bucais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anticárie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antiplaca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antitártaro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/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clareadores,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enxaguatórios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capilar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anticaspa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antiqueda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esfoliantes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peeling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" químicos, produtos para pele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acneica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, protetores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labiais com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fotoproteção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, sabonetes antissépticos, talcos/ pós antissépticos,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tônicos/ loções capilares, xampus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anticaspa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antiqueda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, xampus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condicionadores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anticaspa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/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antiqueda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>, no que se refere a Cosméticos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 Produtos de Higiene; 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III - suplementos vitamínicos e/ou minerais, alimentos com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alegações de propriedade funcional e/ou de saúde, substâncias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bioativas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e </w:t>
      </w:r>
      <w:proofErr w:type="spellStart"/>
      <w:r w:rsidRPr="0096256B">
        <w:rPr>
          <w:rFonts w:ascii="Times New Roman" w:hAnsi="Times New Roman" w:cs="Times New Roman"/>
          <w:spacing w:val="-2"/>
          <w:sz w:val="24"/>
          <w:szCs w:val="24"/>
        </w:rPr>
        <w:t>probióticos</w:t>
      </w:r>
      <w:proofErr w:type="spell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isolados com alegação de propriedades funcional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e/ ou de saúde.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lastRenderedPageBreak/>
        <w:t>Parágrafo único. A autorização concedida no caput não exclui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 necessidade do cumprimento integral da legislação sanitária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aplicável a cada uma destas categorias, em especial os dispositivos 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art. 252, da Resolução RDC nº 17, de 16 de abril de 2010.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2º A fabricação compartilhada de produtos não listados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nos incisos do art. 1º depende de autorização prévia da Anvisa a 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requisitada por meio do código de assunto 70275 - Autorização para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 Fabricação Compartilhada de Produtos para Saúde, Produtos 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Higiene, Cosméticos e/ou Alimentos.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3º O pedido assinalado no art. 2º deve ser instruído com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os seguintes documentos: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I - </w:t>
      </w:r>
      <w:proofErr w:type="gramStart"/>
      <w:r w:rsidRPr="0096256B">
        <w:rPr>
          <w:rFonts w:ascii="Times New Roman" w:hAnsi="Times New Roman" w:cs="Times New Roman"/>
          <w:spacing w:val="-2"/>
          <w:sz w:val="24"/>
          <w:szCs w:val="24"/>
        </w:rPr>
        <w:t>lista</w:t>
      </w:r>
      <w:proofErr w:type="gram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dos medicamentos de uso humano atualmente produzidos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na instalação a ser utilizada para o compartilhamento;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II - </w:t>
      </w:r>
      <w:proofErr w:type="gramStart"/>
      <w:r w:rsidRPr="0096256B">
        <w:rPr>
          <w:rFonts w:ascii="Times New Roman" w:hAnsi="Times New Roman" w:cs="Times New Roman"/>
          <w:spacing w:val="-2"/>
          <w:sz w:val="24"/>
          <w:szCs w:val="24"/>
        </w:rPr>
        <w:t>denominação</w:t>
      </w:r>
      <w:proofErr w:type="gramEnd"/>
      <w:r w:rsidRPr="0096256B">
        <w:rPr>
          <w:rFonts w:ascii="Times New Roman" w:hAnsi="Times New Roman" w:cs="Times New Roman"/>
          <w:spacing w:val="-2"/>
          <w:sz w:val="24"/>
          <w:szCs w:val="24"/>
        </w:rPr>
        <w:t>, composição qualitativa e quantitativa 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produto para saúde, produto de higiene, cosmético ou alimento que 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pretende compartilhar;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III - demonstração que as especificações aprovadas na empresa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para as matérias-primas do produto que se pretende compartilhar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com os medicamentos de uso humano são de igual ou superior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qualidade àquelas utilizadas para estes;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IV - </w:t>
      </w:r>
      <w:proofErr w:type="gramStart"/>
      <w:r w:rsidRPr="0096256B">
        <w:rPr>
          <w:rFonts w:ascii="Times New Roman" w:hAnsi="Times New Roman" w:cs="Times New Roman"/>
          <w:spacing w:val="-2"/>
          <w:sz w:val="24"/>
          <w:szCs w:val="24"/>
        </w:rPr>
        <w:t>discriminação</w:t>
      </w:r>
      <w:proofErr w:type="gram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do fluxo de fabricação que será compartilhado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com medicamentos de uso humano, citando detalhadamente,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da armazenagem de matérias-primas até a expedição de produtos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acabados, as áreas e equipamentos compartilhados;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V - </w:t>
      </w:r>
      <w:proofErr w:type="gramStart"/>
      <w:r w:rsidRPr="0096256B">
        <w:rPr>
          <w:rFonts w:ascii="Times New Roman" w:hAnsi="Times New Roman" w:cs="Times New Roman"/>
          <w:spacing w:val="-2"/>
          <w:sz w:val="24"/>
          <w:szCs w:val="24"/>
        </w:rPr>
        <w:t>plantas</w:t>
      </w:r>
      <w:proofErr w:type="gram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baixas das áreas fabris em que o compartilhamento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ocorrerá demonstrando o fluxo de pessoal, fluxo de materiais,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diferenciais de pressão e classificação quanto ao número 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partículas quando aplicável conforme padrão adotado pela Resolução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- RDC nº 17, de 16 de abril de 2010; 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VI - </w:t>
      </w:r>
      <w:proofErr w:type="gramStart"/>
      <w:r w:rsidRPr="0096256B">
        <w:rPr>
          <w:rFonts w:ascii="Times New Roman" w:hAnsi="Times New Roman" w:cs="Times New Roman"/>
          <w:spacing w:val="-2"/>
          <w:sz w:val="24"/>
          <w:szCs w:val="24"/>
        </w:rPr>
        <w:t>análise</w:t>
      </w:r>
      <w:proofErr w:type="gramEnd"/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 de risco contemplando a identificação, análise 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avaliação dos riscos, a redução dos riscos mitigáveis e a decisão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quanto à aceitabilidade dos riscos remanescentes.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4º A documentação listada no artigo anterior pode 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complementada por uma inspeção sanitária caso seja necessário para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 conclusão quanto ao pedido de compartilhamento.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5º A autorização prévia concedida aos produtos listados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nos incisos do art. 1º não desobriga em nenhum momento as empresas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de apresentarem os documentos listados no art. 3º, quando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requisitadas pelos órgãos de fiscalização.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6º A inclusão de Produtos para saúde, Produtos 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higiene, Cosméticos e/ou Alimentos em linhas produtivas de medicamentos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deve obedecer também à compatibilidade das vias 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 xml:space="preserve">administração, ficando vedada a inclusão de produtos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lastRenderedPageBreak/>
        <w:t>daquelas categorias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com vias de administração distintas das utilizadas para 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medicamentos fabricados na linha de produção alvo da inclusão.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§ 1º Excetuam-se do disposto no caput, os produtos cujos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insumos tenham tido sua segurança para uso em medicamentos demonstrada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 aprovada.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§ 2º Excetuam-se do disposto no caput, os produtos que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compartilham com medicamentos áreas de fabricação que não envolvam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 formulação direta dos medicamentos como pesagem, amostragem,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armazenamento e embalagem secundária.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7º Os casos omissos nesta Instrução Normativa serão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examinados e decididos pela Anvisa, podendo ser solicitadas para 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empresas maiores informações sobre o compartilhamento.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6256B">
        <w:rPr>
          <w:rFonts w:ascii="Times New Roman" w:hAnsi="Times New Roman" w:cs="Times New Roman"/>
          <w:spacing w:val="-2"/>
          <w:sz w:val="24"/>
          <w:szCs w:val="24"/>
        </w:rPr>
        <w:t>Art. 8º Esta Instrução Normativa entra em vigor na data 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256B">
        <w:rPr>
          <w:rFonts w:ascii="Times New Roman" w:hAnsi="Times New Roman" w:cs="Times New Roman"/>
          <w:spacing w:val="-2"/>
          <w:sz w:val="24"/>
          <w:szCs w:val="24"/>
        </w:rPr>
        <w:t>sua publicação.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96256B" w:rsidRDefault="0096256B" w:rsidP="0096256B">
      <w:pPr>
        <w:spacing w:before="300" w:after="300" w:line="240" w:lineRule="auto"/>
        <w:jc w:val="center"/>
        <w:rPr>
          <w:rFonts w:ascii="Times New Roman" w:hAnsi="Times New Roman" w:cs="Times New Roman"/>
          <w:spacing w:val="-2"/>
          <w:sz w:val="24"/>
          <w:szCs w:val="24"/>
        </w:rPr>
      </w:pPr>
    </w:p>
    <w:p w:rsidR="00835B7B" w:rsidRPr="00FC21FE" w:rsidRDefault="0096256B" w:rsidP="0096256B">
      <w:pPr>
        <w:spacing w:before="300" w:after="300" w:line="240" w:lineRule="auto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bookmarkStart w:id="0" w:name="_GoBack"/>
      <w:bookmarkEnd w:id="0"/>
      <w:r w:rsidRPr="0096256B">
        <w:rPr>
          <w:rFonts w:ascii="Times New Roman" w:hAnsi="Times New Roman" w:cs="Times New Roman"/>
          <w:spacing w:val="-2"/>
          <w:sz w:val="24"/>
          <w:szCs w:val="24"/>
        </w:rPr>
        <w:t>JARBAS BARBOSA DA SILVA JR.</w:t>
      </w:r>
    </w:p>
    <w:sectPr w:rsidR="00835B7B" w:rsidRPr="00FC21FE" w:rsidSect="00FC21FE">
      <w:headerReference w:type="default" r:id="rId6"/>
      <w:footerReference w:type="default" r:id="rId7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1FE" w:rsidRDefault="00FC21FE" w:rsidP="00FC21FE">
      <w:pPr>
        <w:spacing w:after="0" w:line="240" w:lineRule="auto"/>
      </w:pPr>
      <w:r>
        <w:separator/>
      </w:r>
    </w:p>
  </w:endnote>
  <w:endnote w:type="continuationSeparator" w:id="0">
    <w:p w:rsidR="00FC21FE" w:rsidRDefault="00FC21FE" w:rsidP="00FC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FE" w:rsidRPr="00FC21FE" w:rsidRDefault="00FC21FE" w:rsidP="00FC21F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1FE" w:rsidRDefault="00FC21FE" w:rsidP="00FC21FE">
      <w:pPr>
        <w:spacing w:after="0" w:line="240" w:lineRule="auto"/>
      </w:pPr>
      <w:r>
        <w:separator/>
      </w:r>
    </w:p>
  </w:footnote>
  <w:footnote w:type="continuationSeparator" w:id="0">
    <w:p w:rsidR="00FC21FE" w:rsidRDefault="00FC21FE" w:rsidP="00FC2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FE" w:rsidRPr="00B517AC" w:rsidRDefault="00FC21FE" w:rsidP="00FC21F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8AC3FA3" wp14:editId="731208C8">
          <wp:extent cx="657225" cy="647700"/>
          <wp:effectExtent l="0" t="0" r="9525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21FE" w:rsidRPr="00B517AC" w:rsidRDefault="00FC21FE" w:rsidP="00FC21F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C21FE" w:rsidRPr="00B517AC" w:rsidRDefault="00FC21FE" w:rsidP="00FC21F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C21FE" w:rsidRDefault="00FC21F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9E"/>
    <w:rsid w:val="001E708B"/>
    <w:rsid w:val="003B3398"/>
    <w:rsid w:val="007441BF"/>
    <w:rsid w:val="00786686"/>
    <w:rsid w:val="00835B7B"/>
    <w:rsid w:val="0096256B"/>
    <w:rsid w:val="009A0C9E"/>
    <w:rsid w:val="009E2741"/>
    <w:rsid w:val="00B30817"/>
    <w:rsid w:val="00D621E1"/>
    <w:rsid w:val="00FC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7F4BF2"/>
  <w15:docId w15:val="{01423419-AE5D-4712-803E-EEAB5C0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1FE"/>
  </w:style>
  <w:style w:type="paragraph" w:styleId="Rodap">
    <w:name w:val="footer"/>
    <w:basedOn w:val="Normal"/>
    <w:link w:val="RodapChar"/>
    <w:uiPriority w:val="99"/>
    <w:unhideWhenUsed/>
    <w:rsid w:val="00FC2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0E09A-794F-4B4E-A2BB-36787FB348B2}"/>
</file>

<file path=customXml/itemProps2.xml><?xml version="1.0" encoding="utf-8"?>
<ds:datastoreItem xmlns:ds="http://schemas.openxmlformats.org/officeDocument/2006/customXml" ds:itemID="{1F74DB89-42FC-4AB0-BDBC-3B72797DCF42}"/>
</file>

<file path=customXml/itemProps3.xml><?xml version="1.0" encoding="utf-8"?>
<ds:datastoreItem xmlns:ds="http://schemas.openxmlformats.org/officeDocument/2006/customXml" ds:itemID="{A3A9A26F-6501-4DC5-B2EB-6968E6D53A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cp:lastPrinted>2017-08-10T21:12:00Z</cp:lastPrinted>
  <dcterms:created xsi:type="dcterms:W3CDTF">2017-08-11T14:24:00Z</dcterms:created>
  <dcterms:modified xsi:type="dcterms:W3CDTF">2017-08-11T14:28:00Z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