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F07329" w:rsidRDefault="00F07329" w:rsidP="000E28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INSTRUÇÃO NORMATIVA Nº 7, DE </w:t>
      </w:r>
      <w:proofErr w:type="gramStart"/>
      <w:r w:rsidR="000E28F9" w:rsidRPr="00F07329">
        <w:rPr>
          <w:rFonts w:ascii="Times New Roman" w:hAnsi="Times New Roman" w:cs="Times New Roman"/>
          <w:b/>
          <w:sz w:val="24"/>
          <w:szCs w:val="24"/>
        </w:rPr>
        <w:t>7</w:t>
      </w:r>
      <w:proofErr w:type="gramEnd"/>
      <w:r w:rsidR="000E28F9" w:rsidRPr="00F07329">
        <w:rPr>
          <w:rFonts w:ascii="Times New Roman" w:hAnsi="Times New Roman" w:cs="Times New Roman"/>
          <w:b/>
          <w:sz w:val="24"/>
          <w:szCs w:val="24"/>
        </w:rPr>
        <w:t xml:space="preserve"> DE JUNHO DE 2010</w:t>
      </w:r>
    </w:p>
    <w:p w:rsidR="00F64D13" w:rsidRPr="00F07329" w:rsidRDefault="00F07329" w:rsidP="000E28F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107, de </w:t>
      </w:r>
      <w:proofErr w:type="gramStart"/>
      <w:r w:rsidR="00F64D13" w:rsidRPr="00F07329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proofErr w:type="gramEnd"/>
      <w:r w:rsidR="00F64D13" w:rsidRPr="00F0732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junho de 2010)</w:t>
      </w:r>
    </w:p>
    <w:p w:rsidR="0091037C" w:rsidRPr="00F07329" w:rsidRDefault="0091037C" w:rsidP="000E28F9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07329">
        <w:rPr>
          <w:rFonts w:ascii="Times New Roman" w:hAnsi="Times New Roman" w:cs="Times New Roman"/>
          <w:b/>
          <w:color w:val="0000FF"/>
          <w:sz w:val="24"/>
          <w:szCs w:val="24"/>
        </w:rPr>
        <w:t>(Revogada pe</w:t>
      </w:r>
      <w:r w:rsidR="00F0732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la Instrução Normativa nº </w:t>
      </w:r>
      <w:r w:rsidRPr="00F07329">
        <w:rPr>
          <w:rFonts w:ascii="Times New Roman" w:hAnsi="Times New Roman" w:cs="Times New Roman"/>
          <w:b/>
          <w:color w:val="0000FF"/>
          <w:sz w:val="24"/>
          <w:szCs w:val="24"/>
        </w:rPr>
        <w:t>2, de 31 de maio de 2011</w:t>
      </w:r>
      <w:proofErr w:type="gramStart"/>
      <w:r w:rsidRPr="00F0732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F64D13" w:rsidRPr="00F07329" w:rsidTr="00F64D13">
        <w:tc>
          <w:tcPr>
            <w:tcW w:w="4322" w:type="dxa"/>
          </w:tcPr>
          <w:p w:rsidR="00F64D13" w:rsidRPr="00F07329" w:rsidRDefault="00F64D13" w:rsidP="000E28F9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F64D13" w:rsidRPr="00F07329" w:rsidRDefault="00F64D13" w:rsidP="00F64D13">
            <w:pPr>
              <w:jc w:val="both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  <w:r w:rsidRPr="00F07329">
              <w:rPr>
                <w:rFonts w:ascii="Times New Roman" w:hAnsi="Times New Roman" w:cs="Times New Roman"/>
                <w:strike/>
                <w:sz w:val="24"/>
                <w:szCs w:val="24"/>
              </w:rPr>
              <w:t>Estabelece a relação de equipamentos médicos e materiais de uso em saúde que não se enquadram na situação de cadastro, permanecendo na obrigatoriedade de registro na ANVISA.</w:t>
            </w:r>
          </w:p>
        </w:tc>
      </w:tr>
    </w:tbl>
    <w:p w:rsidR="00F64D13" w:rsidRPr="00F07329" w:rsidRDefault="00F64D13" w:rsidP="00F0732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O </w:t>
      </w:r>
      <w:r w:rsidRPr="00F07329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Diretor-Presidente Substituto da Agência Nacional de Vigilância Sanitária</w:t>
      </w: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no uso das atribuições que lhe conferem o Decreto de nomeação, de </w:t>
      </w:r>
      <w:proofErr w:type="gramStart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</w:t>
      </w:r>
      <w:proofErr w:type="gramEnd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janeiro de 2008, do Presidente da República, e o inciso X do art. 13 do </w:t>
      </w:r>
      <w:r w:rsid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Regulamento da ANVISA, aprovado pelo </w:t>
      </w: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Decreto n° 3.029, de 16 de abril de 1999, tendo em vista o disposto no inciso VIII do art. 16 e no inciso II, § 2º do art. 55 do Regimento Interno da ANVISA, aprovado nos termos do Anexo I da Portaria nº 354, de 11 de agosto de 2006, republicada no DOU de 21 de agosto de 2006, e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Considerando a necessidade de constante aperfeiçoamento das ações de controle sanitário na área de produtos para a saúde, visando </w:t>
      </w:r>
      <w:proofErr w:type="gramStart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</w:t>
      </w:r>
      <w:proofErr w:type="gramEnd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proteção à saúde da população;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o disposto no art. 25 da Lei n° 6360, de 23 de setembro de 1976, sobre o registro de produtos correlatos;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as disposições da Resolução - RDC ANVISA nº 24, de 21 de maio de 2009;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a necessidade de revisar a relação constante da Instrução Normativa nº 7, de 17.06.09;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que a matéria foi submetida à apreciação da Diretoria Colegiada que a aprovou em reunião realizada em 24 de maio de 2010, resolve: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1º Estabelecer a relação dos equipamentos médicos e materiais de uso em saúde que são exceção ao regime de cadastramento junto à Agência Nacional de Vigilância Sanitária - ANVISA, permanecendo a exigência de obrigatoriedade de registro, conforme Anexo desta Instrução Normativa.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Parágrafo único. A relação de exceção indicada no anexo será atualizada sempre que justificada por informações técnicas e científicas sobre os riscos à saúde associados às tecnologias ou ao seu uso.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Produtos com uso relacionado à saúde, mas que não são passíveis de registro ou cadastro junto a ANVISA</w:t>
      </w:r>
      <w:proofErr w:type="gramStart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encontram-se</w:t>
      </w:r>
      <w:proofErr w:type="gramEnd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indicados em uma relação </w:t>
      </w: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exemplificativa de produtos não considerados produtos para saúde, disponibilizada no portal da ANVISA - www.anvisa.gov.br.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3º Produtos médicos que devido as suas características sejam enquadrados nas Classes I ou II e não se encontrem no Anexo desta Instrução Normativa, porém possuam indicação/finalidade de uso inovadora ou possuam tecnologia nova ou de inovação, apesar de cadastrados, deverão apresentar toda documentação exigida para registro no que diz respeito às informações de segurança e eficácia.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Parágrafo único O disposto no caput deste artigo também se aplica aos aparelhos não elétricos com função de medição, que mesmo cadastrados, devem apresentar comprovação com relação a questões metrológicas.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4º Fica Revogada a Instrução Normativa nº 7, de 17 de junho de 2009.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5º Esta Instrução Normativa entra em vigor na data de sua publicação.</w:t>
      </w:r>
    </w:p>
    <w:p w:rsidR="00F64D13" w:rsidRPr="00F07329" w:rsidRDefault="00F64D13" w:rsidP="00F64D13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DIRCEU BRÁS APARECIDO BARBANO</w:t>
      </w:r>
    </w:p>
    <w:p w:rsidR="00DF5339" w:rsidRPr="00F07329" w:rsidRDefault="00DF5339" w:rsidP="00DF5339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ANEXO</w:t>
      </w:r>
    </w:p>
    <w:p w:rsidR="00F64D13" w:rsidRPr="00F07329" w:rsidRDefault="00F64D13" w:rsidP="00DF5339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RELAÇÃO DOS EQUIPAMENTOS MÉDICOS E MATERIAIS DE USO EM SAÚDE QUE PERMANECEM NA EXIGÊNCIA DE REGISTRO NA ANVISA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 Lista de equipamentos médicos e materiais de uso em saúde, enquadrados nas classes de risco I e II, que não estão sujeitos ao regime de cadastramento, permanecendo a exigência de registro.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1.1 Equipamentos elétricos </w:t>
      </w:r>
      <w:proofErr w:type="gramStart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sob regime</w:t>
      </w:r>
      <w:proofErr w:type="gramEnd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Vigilância Sanitária incluindo suas partes e acessórios: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1.1.1 Destinados à estética e ao embelezamento e que tenham como modo de funcionamento a aplicação de energia ou substâncias de forma potencialmente perigosa, considerando-se a natureza e o local de aplicação da energia ou substância;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1.1.2 Destinados ao uso médico, fisioterápico e odontológico, que sejam ligados </w:t>
      </w:r>
      <w:proofErr w:type="gramStart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</w:t>
      </w:r>
      <w:proofErr w:type="gramEnd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rede elétrica ou possuam fonte de alimentação interna, e que: estabeleçam contato direto ou troquem energia com o paciente; ou forneçam/captem energia do paciente.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1.1.3 Indicados a seguir: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1.1.3.1 Aparelho para desinfecção de produtos médicos;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1.1.3.2 Aparelho para esterilização de produtos para embelezamento ou estética;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1.1.3.3 Aparelho para esterilização de produtos médicos;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1.1.3.4 Freezer e refrigeradores para bolsa de sangue, tecidos biológicos humanos, órgãos destinados a transplante em humanos e fluidos a serem administrados no corpo humano;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1.1.3.5 Centrifuga para bolsa de sangue;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1.1.3.6 Processador de componentes sanguíneos;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1.1.3.7 Aquecedor para bolsa de sangue;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1.1.3.8 Microscópio cirúrgico;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1.1.3.9 Software que realize processamento de imagens médicas</w:t>
      </w:r>
      <w:proofErr w:type="gramStart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sugere</w:t>
      </w:r>
      <w:proofErr w:type="gramEnd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resultado de diagnóstico, destinado a uso em procedimentos cirúrgicos ou em ambientes de unidade de terapia intensiva (UTI), e ainda o que influencia diretamente no funcionamento de equipamentos de uso em saúde sujeitos a registros;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1.1.3.10 Equipamento para diagnóstico in vitro que apresente resultados de determinação qualitativa, quantitativa ou </w:t>
      </w:r>
      <w:proofErr w:type="spellStart"/>
      <w:proofErr w:type="gramStart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semi-quantitativa</w:t>
      </w:r>
      <w:proofErr w:type="spellEnd"/>
      <w:proofErr w:type="gramEnd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uma amostra proveniente do corpo humano, </w:t>
      </w:r>
      <w:proofErr w:type="spellStart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ex</w:t>
      </w:r>
      <w:proofErr w:type="spellEnd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: analisador bioquímico, analisador imunológico, medidor de glicose etc.;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1.1.3.11 Aplicador ativo de substâncias a serem injetadas/introduzidas no corpo humano, </w:t>
      </w:r>
      <w:proofErr w:type="spellStart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ex</w:t>
      </w:r>
      <w:proofErr w:type="spellEnd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: apli</w:t>
      </w:r>
      <w:r w:rsidR="00DF5339"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cador de insulina, aplicador de </w:t>
      </w: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hormônios etc.;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1.1.3.12 </w:t>
      </w:r>
      <w:proofErr w:type="spellStart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Reprocessador</w:t>
      </w:r>
      <w:proofErr w:type="spellEnd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</w:t>
      </w:r>
      <w:proofErr w:type="spellStart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hemodialisador</w:t>
      </w:r>
      <w:proofErr w:type="spellEnd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1.1.3.13 Motor pneumático cirúrgico;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1.1.3.14 Equipamento para processamento/digitalização de imagens médicas;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1.1.4 Sujeitos a certificação compulsória.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 Materiais de uso em saúde: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1.2.1 Produtos sujeitos a certificação compulsória;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1.2.2 Produtos constituídos por líquidos, géis, pastas, cremes ou pós que entrem em contato direto com o organismo; </w:t>
      </w:r>
      <w:proofErr w:type="gramStart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ou</w:t>
      </w:r>
      <w:proofErr w:type="gramEnd"/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1.2.3 Indicados a seguir: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1.2.3.1 Componentes e fios para ortodontia;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1.2.3.2 Equipo para sangue e hemoderivado</w:t>
      </w:r>
      <w:bookmarkStart w:id="0" w:name="_GoBack"/>
      <w:bookmarkEnd w:id="0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1.2.3.3 Equipo para bomba de infusão;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1.2.3.4 Filtros para diálise hepática;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1.2.3.5 Filtros para hemodiálise;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1.2.3.6 Filtros para remoção de derivados do sangue;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1.2.3.7 Fios de sutura;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1.2.3.8 Lentes de contato;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1.2.3.9. Máscaras para uso especial (Tipo N95);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1.2.3.10 Materiais implantáveis nos dentes (</w:t>
      </w:r>
      <w:proofErr w:type="spellStart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Ex</w:t>
      </w:r>
      <w:proofErr w:type="spellEnd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: resinas, amálgama, cimentos e núcleos);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1.2.3.11 Medidor de implantes;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1.2.3.12 Sistemas para aférese sem bolsas plásticas;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1.2.3.13 Termômetro clínico;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1.2.3.14 Vestimentas de proteção radiológica;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1.2.3.15 Circuitos para circulação </w:t>
      </w:r>
      <w:proofErr w:type="spellStart"/>
      <w:proofErr w:type="gramStart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extra-corpórea</w:t>
      </w:r>
      <w:proofErr w:type="spellEnd"/>
      <w:proofErr w:type="gramEnd"/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; e</w:t>
      </w:r>
    </w:p>
    <w:p w:rsidR="00F64D13" w:rsidRPr="00F07329" w:rsidRDefault="00F64D13" w:rsidP="00F64D13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F07329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1.2.3.16 Componentes de implantes dentários.</w:t>
      </w:r>
    </w:p>
    <w:p w:rsidR="00F64D13" w:rsidRPr="00F07329" w:rsidRDefault="00F64D13" w:rsidP="00F64D13">
      <w:pPr>
        <w:rPr>
          <w:rFonts w:ascii="Times New Roman" w:hAnsi="Times New Roman" w:cs="Times New Roman"/>
          <w:b/>
          <w:strike/>
          <w:color w:val="0000FF"/>
          <w:sz w:val="24"/>
          <w:szCs w:val="24"/>
        </w:rPr>
      </w:pPr>
    </w:p>
    <w:sectPr w:rsidR="00F64D13" w:rsidRPr="00F0732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329" w:rsidRDefault="00F07329" w:rsidP="00F07329">
      <w:pPr>
        <w:spacing w:after="0" w:line="240" w:lineRule="auto"/>
      </w:pPr>
      <w:r>
        <w:separator/>
      </w:r>
    </w:p>
  </w:endnote>
  <w:endnote w:type="continuationSeparator" w:id="0">
    <w:p w:rsidR="00F07329" w:rsidRDefault="00F07329" w:rsidP="00F07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329" w:rsidRDefault="00F07329" w:rsidP="00F07329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329" w:rsidRDefault="00F07329" w:rsidP="00F07329">
      <w:pPr>
        <w:spacing w:after="0" w:line="240" w:lineRule="auto"/>
      </w:pPr>
      <w:r>
        <w:separator/>
      </w:r>
    </w:p>
  </w:footnote>
  <w:footnote w:type="continuationSeparator" w:id="0">
    <w:p w:rsidR="00F07329" w:rsidRDefault="00F07329" w:rsidP="00F07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329" w:rsidRDefault="00F07329" w:rsidP="00F07329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2699A0D" wp14:editId="78478F0E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07329" w:rsidRPr="007C54E1" w:rsidRDefault="00F07329" w:rsidP="00F07329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F07329" w:rsidRPr="007C54E1" w:rsidRDefault="00F07329" w:rsidP="00F07329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F07329" w:rsidRDefault="00F0732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8F9"/>
    <w:rsid w:val="000E28F9"/>
    <w:rsid w:val="001E708B"/>
    <w:rsid w:val="007441BF"/>
    <w:rsid w:val="00786686"/>
    <w:rsid w:val="0084257F"/>
    <w:rsid w:val="0091037C"/>
    <w:rsid w:val="009830F2"/>
    <w:rsid w:val="00B30817"/>
    <w:rsid w:val="00D621E1"/>
    <w:rsid w:val="00DF5339"/>
    <w:rsid w:val="00F07329"/>
    <w:rsid w:val="00F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4D13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4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F64D13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64D13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extocenter">
    <w:name w:val="texto_center"/>
    <w:basedOn w:val="Normal"/>
    <w:rsid w:val="00F64D1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07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7329"/>
  </w:style>
  <w:style w:type="paragraph" w:styleId="Rodap">
    <w:name w:val="footer"/>
    <w:basedOn w:val="Normal"/>
    <w:link w:val="RodapChar"/>
    <w:uiPriority w:val="99"/>
    <w:unhideWhenUsed/>
    <w:rsid w:val="00F07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7329"/>
  </w:style>
  <w:style w:type="paragraph" w:styleId="Textodebalo">
    <w:name w:val="Balloon Text"/>
    <w:basedOn w:val="Normal"/>
    <w:link w:val="TextodebaloChar"/>
    <w:uiPriority w:val="99"/>
    <w:semiHidden/>
    <w:unhideWhenUsed/>
    <w:rsid w:val="00F0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4D13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64D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F64D13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64D13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textocenter">
    <w:name w:val="texto_center"/>
    <w:basedOn w:val="Normal"/>
    <w:rsid w:val="00F64D13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07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7329"/>
  </w:style>
  <w:style w:type="paragraph" w:styleId="Rodap">
    <w:name w:val="footer"/>
    <w:basedOn w:val="Normal"/>
    <w:link w:val="RodapChar"/>
    <w:uiPriority w:val="99"/>
    <w:unhideWhenUsed/>
    <w:rsid w:val="00F07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7329"/>
  </w:style>
  <w:style w:type="paragraph" w:styleId="Textodebalo">
    <w:name w:val="Balloon Text"/>
    <w:basedOn w:val="Normal"/>
    <w:link w:val="TextodebaloChar"/>
    <w:uiPriority w:val="99"/>
    <w:semiHidden/>
    <w:unhideWhenUsed/>
    <w:rsid w:val="00F0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7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08180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FF6BC3-A551-4E77-BF54-A3EE174CE7AA}"/>
</file>

<file path=customXml/itemProps2.xml><?xml version="1.0" encoding="utf-8"?>
<ds:datastoreItem xmlns:ds="http://schemas.openxmlformats.org/officeDocument/2006/customXml" ds:itemID="{C19121B4-D33F-4ABA-AD06-17FA4B330EA3}"/>
</file>

<file path=customXml/itemProps3.xml><?xml version="1.0" encoding="utf-8"?>
<ds:datastoreItem xmlns:ds="http://schemas.openxmlformats.org/officeDocument/2006/customXml" ds:itemID="{3268170D-CADD-4BC1-8222-8070954102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980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dcterms:created xsi:type="dcterms:W3CDTF">2016-02-18T14:51:00Z</dcterms:created>
  <dcterms:modified xsi:type="dcterms:W3CDTF">2016-07-07T14:57:00Z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