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F4D" w:rsidRPr="001C2928" w:rsidRDefault="00A86F4D" w:rsidP="00A86F4D">
      <w:pPr>
        <w:pStyle w:val="Ttulo1"/>
        <w:divId w:val="786435579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C2928">
        <w:rPr>
          <w:rFonts w:ascii="Times New Roman" w:hAnsi="Times New Roman" w:cs="Times New Roman"/>
          <w:sz w:val="24"/>
          <w:szCs w:val="24"/>
        </w:rPr>
        <w:t>INSTRUÇÃO NORMATI</w:t>
      </w:r>
      <w:r w:rsidR="00A07E10" w:rsidRPr="001C2928">
        <w:rPr>
          <w:rFonts w:ascii="Times New Roman" w:hAnsi="Times New Roman" w:cs="Times New Roman"/>
          <w:sz w:val="24"/>
          <w:szCs w:val="24"/>
        </w:rPr>
        <w:t>VA Nº 9, DE 31 DE JULHO DE 2007</w:t>
      </w:r>
    </w:p>
    <w:p w:rsidR="004771A2" w:rsidRPr="001C2928" w:rsidRDefault="004771A2" w:rsidP="004771A2">
      <w:pPr>
        <w:pStyle w:val="Default"/>
        <w:spacing w:after="240" w:line="276" w:lineRule="auto"/>
        <w:jc w:val="center"/>
        <w:divId w:val="786435579"/>
        <w:rPr>
          <w:rFonts w:ascii="Times New Roman" w:hAnsi="Times New Roman" w:cs="Times New Roman"/>
          <w:b/>
          <w:color w:val="0000FF"/>
        </w:rPr>
      </w:pPr>
      <w:r w:rsidRPr="001C2928">
        <w:rPr>
          <w:rFonts w:ascii="Times New Roman" w:hAnsi="Times New Roman" w:cs="Times New Roman"/>
          <w:b/>
          <w:color w:val="0000FF"/>
        </w:rPr>
        <w:t>(Publicada em DOU nº 147, de 1º de agosto de 2007)</w:t>
      </w:r>
    </w:p>
    <w:p w:rsidR="004771A2" w:rsidRPr="001C2928" w:rsidRDefault="004771A2" w:rsidP="004771A2">
      <w:pPr>
        <w:pStyle w:val="Ttulo1"/>
        <w:divId w:val="786435579"/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</w:pPr>
      <w:r w:rsidRPr="001C2928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(Revogada pela</w:t>
      </w:r>
      <w:r w:rsidR="001C2809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 xml:space="preserve"> Instrução Normativa nº 01, de </w:t>
      </w:r>
      <w:r w:rsidRPr="001C2928">
        <w:rPr>
          <w:rFonts w:ascii="Times New Roman" w:hAnsi="Times New Roman" w:cs="Times New Roman"/>
          <w:bCs w:val="0"/>
          <w:caps w:val="0"/>
          <w:color w:val="0000FF"/>
          <w:kern w:val="0"/>
          <w:sz w:val="24"/>
          <w:szCs w:val="24"/>
        </w:rPr>
        <w:t>9 de maio de 2008)</w:t>
      </w:r>
    </w:p>
    <w:p w:rsidR="00A86F4D" w:rsidRPr="001C2928" w:rsidRDefault="00A86F4D" w:rsidP="001C2809">
      <w:pPr>
        <w:autoSpaceDE w:val="0"/>
        <w:autoSpaceDN w:val="0"/>
        <w:adjustRightInd w:val="0"/>
        <w:ind w:left="3969"/>
        <w:jc w:val="both"/>
        <w:divId w:val="786435579"/>
        <w:rPr>
          <w:strike/>
          <w:color w:val="282526"/>
        </w:rPr>
      </w:pPr>
      <w:r w:rsidRPr="001C2928">
        <w:rPr>
          <w:strike/>
          <w:color w:val="282526"/>
        </w:rPr>
        <w:t>Atualiza as áreas internacionais de risco para transmissão da Febre Amarela e as áreas nacionais endêmicas para a Febre Amarela Silvestre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b/>
          <w:bCs/>
          <w:strike/>
          <w:color w:val="000000"/>
        </w:rPr>
        <w:t xml:space="preserve">O Diretor da Diretoria Colegiada da Agência Nacional de Vigilância Sanitária, </w:t>
      </w:r>
      <w:r w:rsidRPr="001C2928">
        <w:rPr>
          <w:strike/>
          <w:color w:val="000000"/>
        </w:rPr>
        <w:t>no uso da atribuição que lhe confere o inciso II, § 2°, do art. 55 do Regimento Interno da ANVISA, aprovado nos termos do Anexo I da Portaria nº. 354 da ANVISA, de 11 de agosto de 2006, republicada no DOU de 21 de agosto de 2006,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considerando o disposto no Decreto n.º 87, de 15 de abril de 1991,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considerando o disposto na Portaria/SVS/MS n.º 28, de 27 de abril de 1993,</w:t>
      </w:r>
    </w:p>
    <w:p w:rsidR="00A86F4D" w:rsidRPr="001C2809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  <w:spacing w:val="-4"/>
        </w:rPr>
      </w:pPr>
      <w:r w:rsidRPr="001C2809">
        <w:rPr>
          <w:strike/>
          <w:color w:val="000000"/>
          <w:spacing w:val="-4"/>
        </w:rPr>
        <w:t>considerando o disposto na Portaria/GM/MS n.º 2.258, de 23 de novembro 2005,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</w:rPr>
      </w:pPr>
      <w:r w:rsidRPr="001C2928">
        <w:rPr>
          <w:strike/>
        </w:rPr>
        <w:t xml:space="preserve">considerando a confirmação da lista oficial de </w:t>
      </w:r>
      <w:r w:rsidRPr="001C2928">
        <w:rPr>
          <w:strike/>
          <w:color w:val="000000"/>
        </w:rPr>
        <w:t>áreas de risco para transmissão de Febre Amarela</w:t>
      </w:r>
      <w:r w:rsidRPr="001C2928">
        <w:rPr>
          <w:strike/>
        </w:rPr>
        <w:t xml:space="preserve"> pelo Ponto de Contato do RSI na OPAS ao Ponto Focal do Regulamento Sanitário Internacional no Brasil, recebida em 16 de julho de 2007,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considerando as áreas de risco para transmissão de Febre Amarela, conforme situação epidemiológica e avaliação de risco periódicas, resolve: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Art. 1º Atualizar as áreas internacionais de risco para transmissão de Febre Amarela, de acordo com o Anexo, desta Instrução Normativa.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Parágrafo único. Considera-se área de risco para transmissão de Febre Amarela, ou áreas com ocorrência de Febre Amarela, áreas onde a doença tenha sido notificada atualmente ou no passado e a presença de vetores e reservatórios animais da doença.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Art. 2º Atualizar as áreas nacionais endêmicas para Febre Amarela Silvestre, que são os seguintes estados: Acre, Amazonas, Amapá, Distrito Federal, Goiás, Maranhão, Mato Grosso, Mato Grosso do Sul, Pará, Rondônia, Roraima e Tocantins.</w:t>
      </w:r>
    </w:p>
    <w:p w:rsidR="00A86F4D" w:rsidRPr="001C2928" w:rsidRDefault="00A86F4D" w:rsidP="00A86F4D">
      <w:pPr>
        <w:autoSpaceDE w:val="0"/>
        <w:autoSpaceDN w:val="0"/>
        <w:adjustRightInd w:val="0"/>
        <w:ind w:firstLine="567"/>
        <w:jc w:val="both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Art. 3º Esta Instrução Normativa entra em vigor na data de sua publicação.</w:t>
      </w:r>
    </w:p>
    <w:p w:rsidR="00A86F4D" w:rsidRPr="001C2809" w:rsidRDefault="00A86F4D" w:rsidP="007737CA">
      <w:pPr>
        <w:pStyle w:val="Ttulo2"/>
        <w:divId w:val="786435579"/>
        <w:rPr>
          <w:rFonts w:ascii="Times New Roman" w:hAnsi="Times New Roman" w:cs="Times New Roman"/>
          <w:b w:val="0"/>
          <w:sz w:val="24"/>
          <w:szCs w:val="24"/>
        </w:rPr>
      </w:pPr>
      <w:r w:rsidRPr="001C2809">
        <w:rPr>
          <w:rFonts w:ascii="Times New Roman" w:hAnsi="Times New Roman" w:cs="Times New Roman"/>
          <w:b w:val="0"/>
          <w:sz w:val="24"/>
          <w:szCs w:val="24"/>
        </w:rPr>
        <w:t>JOSÉ AGENOR ÁLVARES DA SILVA</w:t>
      </w:r>
    </w:p>
    <w:p w:rsidR="007737CA" w:rsidRDefault="007737CA" w:rsidP="00A86F4D">
      <w:pPr>
        <w:autoSpaceDE w:val="0"/>
        <w:autoSpaceDN w:val="0"/>
        <w:adjustRightInd w:val="0"/>
        <w:jc w:val="center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lastRenderedPageBreak/>
        <w:t>ANEXO</w:t>
      </w:r>
    </w:p>
    <w:p w:rsidR="00A86F4D" w:rsidRPr="001C2928" w:rsidRDefault="00A86F4D" w:rsidP="00A86F4D">
      <w:pPr>
        <w:autoSpaceDE w:val="0"/>
        <w:autoSpaceDN w:val="0"/>
        <w:adjustRightInd w:val="0"/>
        <w:jc w:val="center"/>
        <w:divId w:val="786435579"/>
        <w:rPr>
          <w:strike/>
          <w:color w:val="000000"/>
        </w:rPr>
      </w:pPr>
      <w:r w:rsidRPr="001C2928">
        <w:rPr>
          <w:strike/>
          <w:color w:val="000000"/>
        </w:rPr>
        <w:t>ÁREAS INTERNACIONAIS DE RISCO PARA TRANSMISSÃO DE FEBRE AMARELA</w:t>
      </w:r>
    </w:p>
    <w:tbl>
      <w:tblPr>
        <w:tblW w:w="7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54"/>
        <w:gridCol w:w="3801"/>
      </w:tblGrid>
      <w:tr w:rsidR="00A86F4D" w:rsidRPr="001C2928" w:rsidTr="005A4FE0">
        <w:trPr>
          <w:divId w:val="786435579"/>
          <w:cantSplit/>
          <w:trHeight w:val="510"/>
          <w:jc w:val="center"/>
        </w:trPr>
        <w:tc>
          <w:tcPr>
            <w:tcW w:w="3354" w:type="dxa"/>
            <w:tcBorders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1. Angola;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2. Benin;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3. Bolívia;</w:t>
            </w:r>
          </w:p>
        </w:tc>
        <w:tc>
          <w:tcPr>
            <w:tcW w:w="3801" w:type="dxa"/>
            <w:tcBorders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23. Mali;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24. Mauritânia;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25. Níger;</w:t>
            </w:r>
          </w:p>
        </w:tc>
      </w:tr>
      <w:tr w:rsidR="00A86F4D" w:rsidRPr="001C2928" w:rsidTr="005A4FE0">
        <w:trPr>
          <w:divId w:val="786435579"/>
          <w:cantSplit/>
          <w:trHeight w:val="480"/>
          <w:jc w:val="center"/>
        </w:trPr>
        <w:tc>
          <w:tcPr>
            <w:tcW w:w="3354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4. Brasil;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5. Burkina Faso;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6. Burundi;</w:t>
            </w:r>
          </w:p>
        </w:tc>
        <w:tc>
          <w:tcPr>
            <w:tcW w:w="3801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26. Nigéria;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27. Panamá;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28. Peru;</w:t>
            </w:r>
          </w:p>
        </w:tc>
      </w:tr>
      <w:tr w:rsidR="00A86F4D" w:rsidRPr="001C2928" w:rsidTr="005A4FE0">
        <w:trPr>
          <w:divId w:val="786435579"/>
          <w:cantSplit/>
          <w:trHeight w:val="645"/>
          <w:jc w:val="center"/>
        </w:trPr>
        <w:tc>
          <w:tcPr>
            <w:tcW w:w="3354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7. Camarões;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8. Chad;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9. Colômbia;</w:t>
            </w:r>
          </w:p>
          <w:p w:rsidR="00A86F4D" w:rsidRPr="007737CA" w:rsidRDefault="00A86F4D" w:rsidP="007737CA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10. Congo;</w:t>
            </w:r>
          </w:p>
        </w:tc>
        <w:tc>
          <w:tcPr>
            <w:tcW w:w="3801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29. Quênia;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30. República Centroafricana;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31. República Democrática do Congo;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32. República Unida da Tanzânia;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33. Ruanda;</w:t>
            </w:r>
          </w:p>
        </w:tc>
      </w:tr>
      <w:tr w:rsidR="00A86F4D" w:rsidRPr="001C2928" w:rsidTr="005A4FE0">
        <w:trPr>
          <w:divId w:val="786435579"/>
          <w:cantSplit/>
          <w:trHeight w:val="600"/>
          <w:jc w:val="center"/>
        </w:trPr>
        <w:tc>
          <w:tcPr>
            <w:tcW w:w="3354" w:type="dxa"/>
            <w:vMerge w:val="restart"/>
            <w:tcBorders>
              <w:top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11. Costa do Marfim;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12. Equador;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13. Etiópia;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14. Gabão;</w:t>
            </w:r>
          </w:p>
        </w:tc>
        <w:tc>
          <w:tcPr>
            <w:tcW w:w="3801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34. São Tomé e Príncipe;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35. 36. Senegal;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36. Serra Leoa;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37. Somália;</w:t>
            </w:r>
          </w:p>
        </w:tc>
      </w:tr>
      <w:tr w:rsidR="00A86F4D" w:rsidRPr="001C2928" w:rsidTr="005A4FE0">
        <w:trPr>
          <w:divId w:val="786435579"/>
          <w:cantSplit/>
          <w:trHeight w:val="276"/>
          <w:jc w:val="center"/>
        </w:trPr>
        <w:tc>
          <w:tcPr>
            <w:tcW w:w="3354" w:type="dxa"/>
            <w:vMerge/>
            <w:tcBorders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</w:p>
        </w:tc>
        <w:tc>
          <w:tcPr>
            <w:tcW w:w="3801" w:type="dxa"/>
            <w:vMerge w:val="restart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38. Sudão;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39. Suriname;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40. Togo;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41. Trinidad e Tobago;</w:t>
            </w:r>
          </w:p>
        </w:tc>
      </w:tr>
      <w:tr w:rsidR="00A86F4D" w:rsidRPr="001C2928" w:rsidTr="005A4FE0">
        <w:trPr>
          <w:divId w:val="786435579"/>
          <w:cantSplit/>
          <w:trHeight w:val="585"/>
          <w:jc w:val="center"/>
        </w:trPr>
        <w:tc>
          <w:tcPr>
            <w:tcW w:w="3354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15. Gâmbia;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16. Ghana;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17. Guiana Francesa;</w:t>
            </w:r>
          </w:p>
        </w:tc>
        <w:tc>
          <w:tcPr>
            <w:tcW w:w="3801" w:type="dxa"/>
            <w:vMerge/>
            <w:tcBorders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</w:p>
        </w:tc>
      </w:tr>
      <w:tr w:rsidR="00A86F4D" w:rsidRPr="001C2928" w:rsidTr="005A4FE0">
        <w:trPr>
          <w:divId w:val="786435579"/>
          <w:cantSplit/>
          <w:trHeight w:val="540"/>
          <w:jc w:val="center"/>
        </w:trPr>
        <w:tc>
          <w:tcPr>
            <w:tcW w:w="3354" w:type="dxa"/>
            <w:tcBorders>
              <w:top w:val="nil"/>
              <w:bottom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18. Guiana;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19. Guiné Bissau;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20. Guiné Equatorial;</w:t>
            </w:r>
          </w:p>
        </w:tc>
        <w:tc>
          <w:tcPr>
            <w:tcW w:w="3801" w:type="dxa"/>
            <w:vMerge w:val="restart"/>
            <w:tcBorders>
              <w:top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42. Uganda;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43. Venezuela.</w:t>
            </w:r>
          </w:p>
        </w:tc>
      </w:tr>
      <w:tr w:rsidR="00A86F4D" w:rsidRPr="001C2928" w:rsidTr="005A4FE0">
        <w:trPr>
          <w:divId w:val="786435579"/>
          <w:cantSplit/>
          <w:trHeight w:val="358"/>
          <w:jc w:val="center"/>
        </w:trPr>
        <w:tc>
          <w:tcPr>
            <w:tcW w:w="3354" w:type="dxa"/>
            <w:tcBorders>
              <w:top w:val="nil"/>
            </w:tcBorders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lastRenderedPageBreak/>
              <w:t>21. Guiné;</w:t>
            </w:r>
          </w:p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  <w:r w:rsidRPr="001C2928">
              <w:rPr>
                <w:strike/>
                <w:color w:val="000000"/>
              </w:rPr>
              <w:t>22. Libéria;</w:t>
            </w:r>
          </w:p>
        </w:tc>
        <w:tc>
          <w:tcPr>
            <w:tcW w:w="3801" w:type="dxa"/>
            <w:vMerge/>
          </w:tcPr>
          <w:p w:rsidR="00A86F4D" w:rsidRPr="001C2928" w:rsidRDefault="00A86F4D" w:rsidP="00A86F4D">
            <w:pPr>
              <w:autoSpaceDE w:val="0"/>
              <w:autoSpaceDN w:val="0"/>
              <w:adjustRightInd w:val="0"/>
              <w:rPr>
                <w:strike/>
                <w:color w:val="000000"/>
              </w:rPr>
            </w:pPr>
          </w:p>
        </w:tc>
      </w:tr>
    </w:tbl>
    <w:p w:rsidR="00A86F4D" w:rsidRPr="001C2928" w:rsidRDefault="00A86F4D" w:rsidP="00A86F4D">
      <w:pPr>
        <w:autoSpaceDE w:val="0"/>
        <w:autoSpaceDN w:val="0"/>
        <w:adjustRightInd w:val="0"/>
        <w:divId w:val="786435579"/>
        <w:rPr>
          <w:strike/>
        </w:rPr>
      </w:pPr>
      <w:r w:rsidRPr="001C2928">
        <w:rPr>
          <w:strike/>
        </w:rPr>
        <w:t xml:space="preserve">Fonte: OMS – </w:t>
      </w:r>
      <w:hyperlink r:id="rId6" w:tooltip="http://whqlibdoc.who.int/publications/2007/9789241580397_11_eng.pdf" w:history="1">
        <w:r w:rsidRPr="001C2928">
          <w:rPr>
            <w:rStyle w:val="Hyperlink"/>
            <w:strike/>
          </w:rPr>
          <w:t>http://whqlibdoc.who.int/publications/2007/9789241580397_11_eng.pdf</w:t>
        </w:r>
      </w:hyperlink>
      <w:r w:rsidRPr="001C2928">
        <w:rPr>
          <w:strike/>
        </w:rPr>
        <w:t>, acesso em 17 de junho de 2007</w:t>
      </w:r>
    </w:p>
    <w:sectPr w:rsidR="00A86F4D" w:rsidRPr="001C2928" w:rsidSect="001C28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EEC" w:rsidRDefault="00B87EEC" w:rsidP="007737CA">
      <w:pPr>
        <w:spacing w:before="0" w:after="0"/>
      </w:pPr>
      <w:r>
        <w:separator/>
      </w:r>
    </w:p>
  </w:endnote>
  <w:endnote w:type="continuationSeparator" w:id="0">
    <w:p w:rsidR="00B87EEC" w:rsidRDefault="00B87EEC" w:rsidP="007737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809" w:rsidRPr="001C2809" w:rsidRDefault="001C2809" w:rsidP="001C28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1C2809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EEC" w:rsidRDefault="00B87EEC" w:rsidP="007737CA">
      <w:pPr>
        <w:spacing w:before="0" w:after="0"/>
      </w:pPr>
      <w:r>
        <w:separator/>
      </w:r>
    </w:p>
  </w:footnote>
  <w:footnote w:type="continuationSeparator" w:id="0">
    <w:p w:rsidR="00B87EEC" w:rsidRDefault="00B87EEC" w:rsidP="007737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2809" w:rsidRPr="001C2809" w:rsidRDefault="00B87EEC" w:rsidP="001C28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B87EEC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2809" w:rsidRPr="001C2809" w:rsidRDefault="001C2809" w:rsidP="001C28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1C2809">
      <w:rPr>
        <w:rFonts w:asciiTheme="minorHAnsi" w:hAnsiTheme="minorHAnsi"/>
        <w:b/>
        <w:szCs w:val="22"/>
        <w:lang w:eastAsia="en-US"/>
      </w:rPr>
      <w:t>Ministério da Saúde - MS</w:t>
    </w:r>
  </w:p>
  <w:p w:rsidR="001C2809" w:rsidRDefault="001C2809" w:rsidP="001C28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1C2809">
      <w:rPr>
        <w:rFonts w:asciiTheme="minorHAnsi" w:hAnsiTheme="minorHAnsi"/>
        <w:b/>
        <w:szCs w:val="22"/>
        <w:lang w:eastAsia="en-US"/>
      </w:rPr>
      <w:t xml:space="preserve">Agência Nacional de Vigilância Sanitária </w:t>
    </w:r>
    <w:r>
      <w:rPr>
        <w:rFonts w:asciiTheme="minorHAnsi" w:hAnsiTheme="minorHAnsi"/>
        <w:b/>
        <w:szCs w:val="22"/>
        <w:lang w:eastAsia="en-US"/>
      </w:rPr>
      <w:t>–</w:t>
    </w:r>
    <w:r w:rsidRPr="001C2809">
      <w:rPr>
        <w:rFonts w:asciiTheme="minorHAnsi" w:hAnsiTheme="minorHAnsi"/>
        <w:b/>
        <w:szCs w:val="22"/>
        <w:lang w:eastAsia="en-US"/>
      </w:rPr>
      <w:t xml:space="preserve"> ANVISA</w:t>
    </w:r>
  </w:p>
  <w:p w:rsidR="001C2809" w:rsidRPr="001C2809" w:rsidRDefault="001C2809" w:rsidP="001C2809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1578B"/>
    <w:rsid w:val="00074AC0"/>
    <w:rsid w:val="000834AC"/>
    <w:rsid w:val="000C2183"/>
    <w:rsid w:val="000F7751"/>
    <w:rsid w:val="00102867"/>
    <w:rsid w:val="001C2809"/>
    <w:rsid w:val="001C2928"/>
    <w:rsid w:val="002672B9"/>
    <w:rsid w:val="0027714A"/>
    <w:rsid w:val="002A6BAF"/>
    <w:rsid w:val="0030005B"/>
    <w:rsid w:val="004771A2"/>
    <w:rsid w:val="004F4165"/>
    <w:rsid w:val="005026F6"/>
    <w:rsid w:val="00524060"/>
    <w:rsid w:val="005A4FE0"/>
    <w:rsid w:val="005D13BD"/>
    <w:rsid w:val="00652E8A"/>
    <w:rsid w:val="007257E5"/>
    <w:rsid w:val="00747BED"/>
    <w:rsid w:val="00771958"/>
    <w:rsid w:val="007737CA"/>
    <w:rsid w:val="00820B9B"/>
    <w:rsid w:val="008B7BC0"/>
    <w:rsid w:val="008D770F"/>
    <w:rsid w:val="009D4C4B"/>
    <w:rsid w:val="009F4005"/>
    <w:rsid w:val="00A02B12"/>
    <w:rsid w:val="00A07E10"/>
    <w:rsid w:val="00A53197"/>
    <w:rsid w:val="00A86F4D"/>
    <w:rsid w:val="00AF43E7"/>
    <w:rsid w:val="00B87EEC"/>
    <w:rsid w:val="00C95A0B"/>
    <w:rsid w:val="00CA550C"/>
    <w:rsid w:val="00DF7C19"/>
    <w:rsid w:val="00E30878"/>
    <w:rsid w:val="00F14B9D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4771A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737C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7737CA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737C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7737CA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35581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579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hqlibdoc.who.int/publications/2007/9789241580397_11_eng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2466</Characters>
  <Application>Microsoft Office Word</Application>
  <DocSecurity>0</DocSecurity>
  <Lines>20</Lines>
  <Paragraphs>5</Paragraphs>
  <ScaleCrop>false</ScaleCrop>
  <Company>ANVISA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