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2A2119" w:rsidRDefault="00E41307" w:rsidP="00E413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A2119">
        <w:rPr>
          <w:rFonts w:ascii="Times New Roman" w:hAnsi="Times New Roman" w:cs="Times New Roman"/>
          <w:b/>
          <w:sz w:val="24"/>
          <w:szCs w:val="24"/>
        </w:rPr>
        <w:t>INSTRUÇÃO NORMATIVA Nº 11, DE 16 DE DEZEMBRO DE 2014</w:t>
      </w:r>
    </w:p>
    <w:p w:rsidR="00E41307" w:rsidRPr="002A2119" w:rsidRDefault="00E41307" w:rsidP="00E4130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A211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244, de 17 de dezembro de 2014)</w:t>
      </w:r>
    </w:p>
    <w:p w:rsidR="0050237A" w:rsidRPr="002A2119" w:rsidRDefault="0050237A" w:rsidP="00E4130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A620F">
        <w:rPr>
          <w:rFonts w:ascii="Times New Roman" w:hAnsi="Times New Roman" w:cs="Times New Roman"/>
          <w:b/>
          <w:color w:val="0000FF"/>
          <w:sz w:val="24"/>
          <w:szCs w:val="24"/>
        </w:rPr>
        <w:t>(Re</w:t>
      </w:r>
      <w:r w:rsidR="004A620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vogada pela Instrução Normativa </w:t>
      </w:r>
      <w:r w:rsidRPr="004A620F">
        <w:rPr>
          <w:rFonts w:ascii="Times New Roman" w:hAnsi="Times New Roman" w:cs="Times New Roman"/>
          <w:b/>
          <w:color w:val="0000FF"/>
          <w:sz w:val="24"/>
          <w:szCs w:val="24"/>
        </w:rPr>
        <w:t>nº 4, de 24 de setembro de 2015)</w:t>
      </w:r>
    </w:p>
    <w:p w:rsidR="00D3153B" w:rsidRPr="002A2119" w:rsidRDefault="00D3153B" w:rsidP="00D3153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2A211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, no uso das atribuições que lhe conferem os incisos III e IV, do art. 15 da Lei n.º 9.782, de 26 de janeiro de 1999, tendo em vista o disposto inciso 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VI nos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§§ 1º e 3º do art. 5º do Regimento Interno aprovado nos termos do Anexo I da Portaria nº 650, de 29 de maio de 2014, publicada no DOU de 2 de junho de 2014, e suas atualizações, nos incisos III, do art. 2º, III e IV, do art. 7º da Lei n.º 9.782, de 1999, e o Programa de Melhoria do Processo de Regulamentação da Agência, instituído por meio da Portaria nº 422, de 16 de abril de 2008, em Reunião Ordinária realizada em 9 de dezembro de 2014, resolve: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Art. 1º Aprovar a lista de Normas Técnicas, conforme Anexo I, cujos parâmetros devem ser adotados para a certificação de conformidade, no âmbito do Sistema Brasileiro de Avaliação da Conformidade (SBAC), dos equipamentos 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sob regime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de Vigilância Sanitária, nos termos da Resolução RDC ANVISA nº 27, de 21 de junho de 2011.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Art. 2º Na hipótese de a norma técnica constar do Anexo I, mas a realização da certificação não ser possível em decorrência da inexistência de laboratório de ensaio para realização dos ensaios, conforme estabelecido pelas regras do SBAC para seleção de laboratórios, o Organismo de Certificação de Produtos (OCP) deverá emitir declaração atestando a impossibilidade de realização da certificação, naquele momento, em decorrência de inexistência de laboratório.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Art. 3º Caso a empresa solicitante do registro ou cadastro receba exigência para inclusão de norma em certificado de conformidade emitido e apresentado na ocasião da solicitação do pleito de registro ou cadastro, porém julgue que a norma em questão não se aplica ao seu equipamento, deverá apresentar documento com justificativa técnica da não aplicabilidade da norma solicitada. </w:t>
      </w:r>
    </w:p>
    <w:p w:rsidR="00D3153B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Parágrafo único. A justificativa de que trata o caput deste artigo deverá ter embasamento técnico no campo de aplicação da norma e nos requisitos da norma, podendo, a critério da empresa, se fazer uso de um OCP para emissão da justificativa. </w:t>
      </w:r>
    </w:p>
    <w:p w:rsidR="00EE7F1F" w:rsidRPr="002A2119" w:rsidRDefault="00EE7F1F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4º Para as normas técnicas indicadas no Anexo I desta Instrução Normativa e aquelas referenciadas nas respectivas normas, que sejam canceladas ou alteradas, as seguintes ações deverão ser tomadas: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I - no caso de o cancelamento ou alteração ocorrer em decorrência da publicação de uma versão atualizada da mesma norma, deverá ser 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adotada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a norma que a substituiu, mesmo que de procedência internacional, devendo a sua equivalente nacional, estabelecida pela Associação Brasileira de Normas Técnicas (ABNT), ser adotada após a sua publicação e entrada em vigor.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II - no caso de o cancelamento ocorrer sem uma substituição direta, deverão ser adotadas, na medida do possível, outras normas técnicas existentes, no âmbito da ABNT,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International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Electrotechnical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Commission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(IEC) ou da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International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Organization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for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Standardization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(ISO) que tenham escopo semelhante.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Parágrafo único. A substituição de que trata o inciso II deverá ser feita de comum acordo entre o Laboratório de Ensaio, o Organismo de Certificação de Produto (OCP) e o fabricante do equipamento, e devidamente justificada e documentada.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Art. 5º A exigibilidade da certificação compulsória pelas Normas Técnicas listadas nesta Instrução Normativa será determinada pelos prazos definidos no Anexo II.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Parágrafo único. Os equipamentos para os quais ainda não há exigibilidade de certificação na 3ª edição da série IEC 60601, a certificação de conformidade deve ser atestada com base nas edições anteriores das referidas normas, incluindo o uso da norma geral na versão anterior quando pertinente.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Art. 6º Esta Instrução Normativa passa a vigorar na data da sua publicação. </w:t>
      </w:r>
    </w:p>
    <w:p w:rsidR="00D3153B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Art. 7º Fica revogada a Instrução Normativa n° 9, de 26 de dezembro de 2013.</w:t>
      </w:r>
    </w:p>
    <w:p w:rsidR="002D0967" w:rsidRPr="002A2119" w:rsidRDefault="002D0967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3153B" w:rsidRPr="002D0967" w:rsidRDefault="00D3153B" w:rsidP="00C6621B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D0967">
        <w:rPr>
          <w:rFonts w:ascii="Times New Roman" w:hAnsi="Times New Roman" w:cs="Times New Roman"/>
          <w:b/>
          <w:strike/>
          <w:sz w:val="24"/>
          <w:szCs w:val="24"/>
        </w:rPr>
        <w:t>JAIME CESAR DE MOURA OLIVEIRA</w:t>
      </w:r>
    </w:p>
    <w:p w:rsidR="00D3153B" w:rsidRPr="002D0967" w:rsidRDefault="00D3153B" w:rsidP="00C6621B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D0967">
        <w:rPr>
          <w:rFonts w:ascii="Times New Roman" w:hAnsi="Times New Roman" w:cs="Times New Roman"/>
          <w:b/>
          <w:strike/>
          <w:sz w:val="24"/>
          <w:szCs w:val="24"/>
        </w:rPr>
        <w:t>Diretor-Presidente</w:t>
      </w:r>
    </w:p>
    <w:p w:rsidR="00D3153B" w:rsidRPr="002D0967" w:rsidRDefault="00D3153B" w:rsidP="00C6621B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D0967">
        <w:rPr>
          <w:rFonts w:ascii="Times New Roman" w:hAnsi="Times New Roman" w:cs="Times New Roman"/>
          <w:b/>
          <w:strike/>
          <w:sz w:val="24"/>
          <w:szCs w:val="24"/>
        </w:rPr>
        <w:t>Substituto</w:t>
      </w:r>
    </w:p>
    <w:p w:rsidR="00D3153B" w:rsidRDefault="00D3153B" w:rsidP="00C6621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2D0967" w:rsidRDefault="002D0967" w:rsidP="00C6621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2D0967" w:rsidRDefault="002D0967" w:rsidP="00C6621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2D0967" w:rsidRPr="002A2119" w:rsidRDefault="002D0967" w:rsidP="00C6621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D3153B" w:rsidRPr="005B2BE5" w:rsidRDefault="00D3153B" w:rsidP="00C6621B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B2BE5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Lista das normas técnicas a serem adotadas na certificação de conformidade, no âmbito do Sistema Brasileiro de Avaliação da Conformidade (SBAC), dos equipamentos 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sob regime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de Vigilância Sanitária: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1. A norma ABNT NBR IEC 60601-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1:2010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1: Requisitos gerais para segurança básica e desempenho essencial , incluindo, quando existentes, todas as suas emendas, será compulsória a todos os equipamentos sob regime de Vigilância Sanitária que estejam dentro do seu campo de aplicação.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2. As normas particulares das séries IEC 60601 e ISO/IEC 80601 listadas a seguir, bem como suas emendas, serão compulsórias a todos os equipamentos 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sob regime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de Vigilância Sanitária que estejam dentro dos seus respectivos campos de aplicação: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1:2011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2-1: Requisitos particulares para a segurança básica e o desempenho essencial dos aceleradores de elétrons na faixa de 1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MeV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a 50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MeV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2:2013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2-2: Requisitos particulares para a segurança básica e desempenho essencial de equipamentos cirúrgicos de alta frequência e acessórios cirúrgicos de alta frequência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3:2014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2-3: Requisitos particulares para segurança básica e desempenho essencial de equipamentos de terapia por ondas curtas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4:2014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2-4: Requisitos particulares para a segurança básica e o desempenho essencial de desfibriladores cardíacos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5:2012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2-5: Requisitos particulares para a segurança básica e desempenho essencial dos equipamentos de fisioterapia por ultrassom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6:2014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2-6: Requisitos particulares para segurança básica e desempenho essencial dos equipamentos de terapia por micro-ondas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10:2014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2-10: Requisitos particulares para segurança básica e desempenho essencial de estimuladores de nervos e músculos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7E2116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>ISO 80601-2-12:2011 Medical electrical equipment - Part 2</w:t>
      </w:r>
      <w:r w:rsidR="007E2116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7E2116">
        <w:rPr>
          <w:rFonts w:ascii="Times New Roman" w:hAnsi="Times New Roman" w:cs="Times New Roman"/>
          <w:strike/>
          <w:sz w:val="24"/>
          <w:szCs w:val="24"/>
          <w:lang w:val="en-US"/>
        </w:rPr>
        <w:t>12: Particular requirements for basic safety and essential performance of critical care ventilators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ISO/IEC 80601-2-13:2011 Medical electrical equipment Part 2-13: Particular requirements for basic safety and essential performance of an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anaesthetic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workstation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60601-2-16:2012 Medical electrical equipment - Part 2</w:t>
      </w:r>
      <w:r w:rsidR="000D7005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16: Particular requirements for basic safety and essential performance of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haemodialysis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,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haemodiafiltration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and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haemofiltration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equipment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18:2014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2-18: Requisitos particulares para a segurança básica e o desempenho essencial dos equipamentos endoscópicos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19:2014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2-19: Requisitos particulares para segurança básica e desempenho essencial das incubadoras para recém-nascidos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20:2012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2-20: Requisitos particulares para segurança básica e o desempenho essencial das incubadoras de transporte para recém-nascidos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21:2013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2-21: Requisitos particulares para a segurança básica e o desempenho essencial de aquecedores radiantes para recém-nascidos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22:2014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2-22: Requisitos particulares para segurança básica e desempenho essencial de equipamento a laser para cirurgias, uso cosmético, terapêutico e diagnóstico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23:2012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2-23: Requisitos particulares para a segurança básica e o desempenho essencial de equipamentos de monitoração da pressão parcial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transcutânea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60601-2-24:2012 Medical electrical equipment - Part 2</w:t>
      </w:r>
      <w:r w:rsidR="00401B2A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24: Particular requirements for the basic safety and essential performance of infusion pumps and controllers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25:2014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- Equipamento eletromédico - Parte 2-25: Requisitos particulares para segurança básica e desempenho essencial de eletrocardiógrafo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lastRenderedPageBreak/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26:2014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2-26: Requisitos particulares para a segurança básica e o desempenho essencial de eletroencefalógrafos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27:2013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2-27: Requisitos particulares para a segurança básica e o desempenho essencial dos equipamentos de monitoração eletrocardiográfica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28:2012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2-28: Requisitos particulares para a segurança básica e o desempenho essencial dos conjuntos emissores de radiação X para diagnóstico médico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80601-2-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30:2012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2-30: Requisitos particulares para a segurança básica e o desempenho essencial dos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esfigmomanômetros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automáticos não-invasivos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31:2014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2-31: Requisitos particulares para a segurança básica e o desempenho essencial dos marca-passos cardíacos externos com alimentação elétrica interna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60601-2-33:2010 Medical electrical equipment - Part 2</w:t>
      </w:r>
      <w:r w:rsidR="00B37306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33: Particular requirements for the basic safety and essential performance of magnetic resonance equipment for medical diagnosis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34:2014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2-34: Requisitos particulares para a segurança básica e o desempenho essencial dos equipamentos invasivos de monitoração da pressão sanguínea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80601-2-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35:2013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2-35: Requisitos particulares para a segurança básica e o desempenho essencial dos dispositivos para aquecimento que utilizam cobertores, almofadas ou colchões e são destinados para aquecimento na prática médica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36:2006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2-36: Prescrições particulares para segurança de equipamento extracorpóreo para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litotripsia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induzida. </w:t>
      </w:r>
    </w:p>
    <w:p w:rsidR="00D3153B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60601-2-37:2007 Medical electrical equipment - Part 2</w:t>
      </w:r>
      <w:r w:rsidR="00E9794D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37: Particular requirements for the basic safety and essential performance of ultrasonic medical diagnostic and monitoring equipment </w:t>
      </w:r>
    </w:p>
    <w:p w:rsidR="00D21A4C" w:rsidRPr="002A2119" w:rsidRDefault="00D21A4C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lastRenderedPageBreak/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38:1998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2-38: Prescrições particulares para segurança de camas hospitalares operadas eletricamente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39:2010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2-39: Requisitos particulares para segurança básica e desempenho essencial dos equipamentos de diálise peritoneal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40:1998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2-40: Prescrições particulares para segurança de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eletromiógrafos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 equipamento de potencial evocado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41:2012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2-41: Requisitos particulares para segurança básica e o desempenho essencial das luminárias cirúrgicas e das luminárias para diagnóstico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43:2012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2-43: Requisitos particulares para a segurança básica e desempenho essencial dos equipamentos de raios X para procedimentos intervencionistas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60601-2-44:2009 Medical electrical equipment - Part 2</w:t>
      </w:r>
      <w:r w:rsidR="00D21A4C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44: Particular requirements for the basic safety and essential performance of X-ray equipment for computed tomography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45:2013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2-45: Requisitos particulares para a segurança básica e o desempenho essencial dos equipamentos de raios X para mamografia e dos dispositivos de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estereotaxia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mamográfica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46:2012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2-46: Requisitos particulares para segurança básica e desempenho essencial de mesas de operação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60601-2-47:2012 Medical electrical equipment - Part 2</w:t>
      </w:r>
      <w:r w:rsidR="00C3192A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47: Particular requirements for the basic safety and essential performance of ambulatory electrocardiographic systems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49:2014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2-49: Requisitos particulares para a segurança básica e o desempenho essencial de equipamentos multifuncionais de monitoração de pacientes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50:2010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2-50: Requisitos particulares para a segurança básica e o desempenho essencial do equipamento de fototerapia para recém</w:t>
      </w:r>
      <w:r w:rsidR="00D70FAB">
        <w:rPr>
          <w:rFonts w:ascii="Times New Roman" w:hAnsi="Times New Roman" w:cs="Times New Roman"/>
          <w:strike/>
          <w:sz w:val="24"/>
          <w:szCs w:val="24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nascido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lastRenderedPageBreak/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51:2005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2-51: Prescrições particulares para segurança, incluindo desempenho essencial, de eletrocardiógrafos gravador e analisador monocanal e multicanal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52:2013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2-52: Requisitos particulares para a segurança básica e o desempenho essencial das camas hospitalares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54:2011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2-54: Requisitos particulares para a segurança básica e o desempenho essencial dos equipamentos de raios X para radiografia e radioscopia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ISO/IEC 80601-2-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56:2013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2-56: Requisitos particulares para segurança básica e desempenho essencial de termômetros clínicos para medição da temperatura corporal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60601-2-57:2011 Medical electrical equipment - Part 2</w:t>
      </w:r>
      <w:r w:rsidR="00DB6CAA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57: Particular requirements for the basic safety and essential performance of non-laser light source equipment intended for therapeutic, diagnostic, monitoring and cosmetic/aesthetic use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ISO/IEC 80601-2-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58:2013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Parte 2-58: Requisitos particulares para a segurança básica e o desempenho essencial dos dispositivos para remoção do cristalino e dispositivos para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vitrectomia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para cirurgia oftalmológica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ISO 80601-2-61:2011 Medical electrical equipment-- Part 2</w:t>
      </w:r>
      <w:r w:rsidR="00276EC4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61: Particular requirements for basic safety and essential performance of pulse oximeter equipment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60601-2-62:2013 Medical electrical equipment - Part 2</w:t>
      </w:r>
      <w:r w:rsidR="00276EC4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62: Particular requirements for the basic safety and essential performance of high intensity therapeutic ultrasound (HITU) equipment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60601-2-63:2012 Medical electrical equipment - Part 2</w:t>
      </w:r>
      <w:r w:rsidR="00276EC4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63: Particular requirements for the basic safety and essential performance of dental extra-oral X-ray equipment </w:t>
      </w:r>
    </w:p>
    <w:p w:rsidR="00276EC4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60601-2-65:2012 Medical electrical equipment - Part 2</w:t>
      </w:r>
      <w:r w:rsidR="00276EC4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65: Particular requirements for the basic safety and essential performance of dental intra-oral X-ray equipment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60601-2-66:2012 Medical electrical equipment - Part 2</w:t>
      </w:r>
      <w:r w:rsidR="00276EC4">
        <w:rPr>
          <w:rFonts w:ascii="Times New Roman" w:hAnsi="Times New Roman" w:cs="Times New Roman"/>
          <w:strike/>
          <w:sz w:val="24"/>
          <w:szCs w:val="24"/>
          <w:lang w:val="en-US"/>
        </w:rPr>
        <w:t>-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66: Particular requirements for the basic safety and essential performance of hearing instruments and hearing instrument systems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 As normas colaterais da série ABNT NBR IEC 60601 listadas a seguir, bem como suas emendas, serão compulsórias a todos os equipamentos 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sob regime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de Vigilância Sanitária que estejam dentro dos seus respectivos campos de aplicação: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1:2004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1-1: Prescrições gerais para segurança - Norma colateral: Prescrições de segurança para sistemas eletromédicos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2:2010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1-2: Requisitos gerais para segurança básica e desempenho essencial - Norma colateral: Compatibilidade eletromagnética - Requisitos e ensaio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3:2011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1-3: Requisitos gerais para segurança e desempenho essencial - Norma Colateral: Proteção contra radiação em equipamentos para radiodiagnóstico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4:2004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1-4: Prescrições gerais para segurança - Norma colateral: Sistemas eletromédicos programáveis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6:2011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1-6: Requisitos gerais para segurança básica e desempenho essencial - Norma colateral: Usabilidade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8:2010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1-8: Requisitos gerais para segurança básica e desempenho essencial - Norma colateral: Requisitos gerais, ensaios e diretrizes para sistemas de alarme em equipamentos eletromédicos e sistemas eletromédicos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9:2014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- Equipamento eletromédico - Parte 1-9: Prescrições gerais para segurança básica e desempenho essencial - Norma colateral: Prescrições para um projeto eco-responsável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10:2010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1-10: Requisitos gerais para segurança básica e desempenho essencial - Norma colateral: Requisitos para o desenvolvimento de controladores fisiológicos em malha fechada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60601-1-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11:2012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Equipamento eletromédico - Parte 1-11: Requisitos gerais para a segurança básica e o desempenho essencial - Norma Colateral: Requisitos para equipamentos eletromédicos e sistemas eletromédicos utilizados em ambientes domésticos de cuidado à saúde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4. As normas técnicas listadas a seguir, bem como suas emendas, serão compulsórias a todos os equipamentos 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sob regime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de Vigilância Sanitária que estejam dentro dos seus respectivos campos de aplicação: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ISO 14457:2012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Dentistry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Handpieces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and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motors</w:t>
      </w:r>
      <w:proofErr w:type="spellEnd"/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5251E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ABNT NBR ISO 6875:2014 Odontologia - Cadeira odontológica para paciente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ISO 9680:2007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Dentistry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Operating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</w:rPr>
        <w:t>lights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ABNT NBR ISO 11195: 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2000 Misturador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de gases para uso medicinal - Misturador de gases independentes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ISO 10651-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4:2011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Ventiladores pulmonares Parte 4: Requisitos particulares para reanimadores operados manualmente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ISO 10651-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3:2014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- Ventiladores pulmonares para uso médico - Parte 3: Requisitos particulares para ventiladores de transporte e emergência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ISO 7176-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1:2009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Cadeira de Rodas Parte 1: Determinação da estabilidade estática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7176-2:2001 Wheelchairs Part 2: Determination of dynamic stability of electric wheelchairs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ISO 7176-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3:2009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Cadeira de Rodas Parte 3: Determinação de eficiência dos freios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7176-4:2008 Wheelchairs Part 4: Energy consumption of electric wheelchairs and scooters for determination of theoretical distance range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7176-5:2008 Wheelchairs Part 5: Determination of dimensions, mass and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manoeuvring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space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7176-6:2001 Wheelchairs Part 6: Determination of maximum speed, acceleration and deceleration of electric wheelchairs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ISO 7176-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7:2009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Cadeira de Rodas Parte 7: Medição de dimensões de assentos e rodas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ISO 7176-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8:2009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Cadeira de Rodas Parte 8: Requisitos e métodos de ensaio para força estática, de impacto e fadiga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1742E7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>ISO 7176-9:2009 Wheelchairs Part 9: Climatic tests for electric wheelchairs</w:t>
      </w: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7176-10:2008 Wheelchairs Part 10: Determination of obstacle-climbing ability of electrically powered wheelchairs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ISO 7176-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13:2009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Cadeira de Rodas Parte 13: Determinação do coeficiente de atrito de superfícies de ensaio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7176-14:2008 Wheelchairs Part 14: Power and control systems for electrically powered wheelchairs and scooters - Requirements and test methods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7176-16:2012 Wheelchairs Part 16: Resistance to ignition of postural support devices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7176-19:2008 Wheelchairs Part 19: Wheeled mobility devices for use as seats in motor vehicles </w:t>
      </w:r>
    </w:p>
    <w:p w:rsidR="00AA3EBF" w:rsidRPr="002A2119" w:rsidRDefault="00D3153B" w:rsidP="00AA3EB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7176-21:2009 Wheelchairs Part 21: Requirements and test methods for electromagnetic compatibility of electrically powered wheelchairs and scooters, and battery chargers </w:t>
      </w:r>
    </w:p>
    <w:p w:rsidR="00D3153B" w:rsidRPr="002A2119" w:rsidRDefault="00D3153B" w:rsidP="00AA3EB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ISO 7176-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22:2009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Cadeira de Rodas Parte 22: Procedimentos de ajuste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7176-25:2013 - Wheelchairs Part 25: Batteries and chargers for powered wheelchairs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IEC 60118-0:1983 Hearing aids. Part 0: Measurement of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electroacoustical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characteristics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IEC 60118-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7:2014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Eletroacústica - Aparelhos de amplificação sonora individual Parte 7: Medições das características de desempenho de aparelhos de amplificação sonora individual, com a finalidade de garantir a qualidade da produção, do fornecimento e da entrega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IEC 60118-13:2011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Electroacoustics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- Hearing aids - Part 13: Electromagnetic compatibility (EMC)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A2119">
        <w:rPr>
          <w:rFonts w:ascii="Times New Roman" w:hAnsi="Times New Roman" w:cs="Times New Roman"/>
          <w:strike/>
          <w:sz w:val="24"/>
          <w:szCs w:val="24"/>
        </w:rPr>
        <w:t>ABNT NBR ISO 15883-</w:t>
      </w:r>
      <w:proofErr w:type="gramStart"/>
      <w:r w:rsidRPr="002A2119">
        <w:rPr>
          <w:rFonts w:ascii="Times New Roman" w:hAnsi="Times New Roman" w:cs="Times New Roman"/>
          <w:strike/>
          <w:sz w:val="24"/>
          <w:szCs w:val="24"/>
        </w:rPr>
        <w:t>2:2013</w:t>
      </w:r>
      <w:proofErr w:type="gramEnd"/>
      <w:r w:rsidRPr="002A2119">
        <w:rPr>
          <w:rFonts w:ascii="Times New Roman" w:hAnsi="Times New Roman" w:cs="Times New Roman"/>
          <w:strike/>
          <w:sz w:val="24"/>
          <w:szCs w:val="24"/>
        </w:rPr>
        <w:t xml:space="preserve"> Lavadoras desinfetadoras Parte 2: Requisitos e ensaios para lavadoras desinfetadoras automáticas destinadas à desinfecção térmica para instrumentos cirúrgicos, equipamento anestésico, recipientes, utensílios, vidrarias, entre outros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ISO 15883-4:2008 Washer-disinfectors Part 4: Requirements and tests for washer-disinfectors employing chemical disinfection for </w:t>
      </w:r>
      <w:proofErr w:type="spellStart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thermolabile</w:t>
      </w:r>
      <w:proofErr w:type="spellEnd"/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endoscopes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15883-6:2011 Washer-disinfectors Part 6: Requirements and tests for washer-disinfectors employing thermal disinfection for non-invasive, non-critical medical devices and healthcare equipment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ISO 15197:2013 In vitro diagnostic test systems - Requirements for blood-glucose monitoring systems for self-testing in managing diabetes mellitus </w:t>
      </w:r>
    </w:p>
    <w:p w:rsidR="00D3153B" w:rsidRPr="002A2119" w:rsidRDefault="00D3153B" w:rsidP="00D315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A2119">
        <w:rPr>
          <w:rFonts w:ascii="Times New Roman" w:hAnsi="Times New Roman" w:cs="Times New Roman"/>
          <w:strike/>
          <w:sz w:val="24"/>
          <w:szCs w:val="24"/>
          <w:lang w:val="en-US"/>
        </w:rPr>
        <w:t>IEC 61010-2-101:2002 Safety requirements for electrical equipment for measurement, control and laboratory use - Part 2-101: Particular requirements for in vitro diagnostic (IVD) medical equipment</w:t>
      </w:r>
    </w:p>
    <w:p w:rsidR="00D3153B" w:rsidRPr="006C1545" w:rsidRDefault="00D3153B" w:rsidP="00AA3EBF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  <w:lang w:val="en-US"/>
        </w:rPr>
      </w:pPr>
      <w:r w:rsidRPr="006C1545">
        <w:rPr>
          <w:rFonts w:ascii="Times New Roman" w:hAnsi="Times New Roman" w:cs="Times New Roman"/>
          <w:b/>
          <w:strike/>
          <w:sz w:val="24"/>
          <w:szCs w:val="24"/>
          <w:lang w:val="en-US"/>
        </w:rPr>
        <w:t>ANEXO II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3007"/>
      </w:tblGrid>
      <w:tr w:rsidR="00AA3EBF" w:rsidRPr="002A2119" w:rsidTr="00AA3EBF">
        <w:tc>
          <w:tcPr>
            <w:tcW w:w="675" w:type="dxa"/>
          </w:tcPr>
          <w:p w:rsidR="00AA3EBF" w:rsidRPr="002A2119" w:rsidRDefault="00AA3EBF" w:rsidP="00D3153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962" w:type="dxa"/>
          </w:tcPr>
          <w:p w:rsidR="00AA3EBF" w:rsidRPr="00464CC6" w:rsidRDefault="00AA3EBF" w:rsidP="00AA3EBF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464C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Norma Geral</w:t>
            </w:r>
          </w:p>
        </w:tc>
        <w:tc>
          <w:tcPr>
            <w:tcW w:w="3007" w:type="dxa"/>
          </w:tcPr>
          <w:p w:rsidR="00AA3EBF" w:rsidRPr="00464CC6" w:rsidRDefault="00AA3EBF" w:rsidP="00AA3EBF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464C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Exigibilidade compulsória</w:t>
            </w:r>
          </w:p>
        </w:tc>
      </w:tr>
      <w:tr w:rsidR="00AA3EBF" w:rsidRPr="002A2119" w:rsidTr="00AA3EBF">
        <w:tc>
          <w:tcPr>
            <w:tcW w:w="675" w:type="dxa"/>
          </w:tcPr>
          <w:p w:rsidR="00AA3EBF" w:rsidRPr="002A2119" w:rsidRDefault="00AA3EBF" w:rsidP="00AA3EB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AA3EB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1:2010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007" w:type="dxa"/>
          </w:tcPr>
          <w:p w:rsidR="00AA3EBF" w:rsidRPr="002A2119" w:rsidRDefault="00AA3EBF" w:rsidP="00AA3EB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</w:tbl>
    <w:p w:rsidR="00AA3EBF" w:rsidRPr="002A2119" w:rsidRDefault="00AA3EBF" w:rsidP="00D3153B">
      <w:pPr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3007"/>
      </w:tblGrid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962" w:type="dxa"/>
          </w:tcPr>
          <w:p w:rsidR="00AA3EBF" w:rsidRPr="00777488" w:rsidRDefault="00AA3EBF" w:rsidP="00AA3EBF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7748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Normas Colaterais da série ABNT NBR IEC 60601</w:t>
            </w:r>
          </w:p>
          <w:p w:rsidR="00AA3EBF" w:rsidRPr="00777488" w:rsidRDefault="00AA3EBF" w:rsidP="001742E7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3007" w:type="dxa"/>
          </w:tcPr>
          <w:p w:rsidR="00AA3EBF" w:rsidRPr="00777488" w:rsidRDefault="00AA3EBF" w:rsidP="001742E7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7748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Exigibilidade compulsória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1:2004</w:t>
            </w:r>
            <w:proofErr w:type="gramEnd"/>
          </w:p>
        </w:tc>
        <w:tc>
          <w:tcPr>
            <w:tcW w:w="3007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2:2010</w:t>
            </w:r>
            <w:proofErr w:type="gramEnd"/>
          </w:p>
        </w:tc>
        <w:tc>
          <w:tcPr>
            <w:tcW w:w="3007" w:type="dxa"/>
          </w:tcPr>
          <w:p w:rsidR="00AA3EBF" w:rsidRPr="002A2119" w:rsidRDefault="00AA3EBF" w:rsidP="00AA3EB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3:2011</w:t>
            </w:r>
            <w:proofErr w:type="gramEnd"/>
          </w:p>
        </w:tc>
        <w:tc>
          <w:tcPr>
            <w:tcW w:w="3007" w:type="dxa"/>
          </w:tcPr>
          <w:p w:rsidR="00AA3EBF" w:rsidRPr="002A2119" w:rsidRDefault="00AA3EBF" w:rsidP="00AA3EB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4:2004</w:t>
            </w:r>
            <w:proofErr w:type="gramEnd"/>
          </w:p>
        </w:tc>
        <w:tc>
          <w:tcPr>
            <w:tcW w:w="3007" w:type="dxa"/>
          </w:tcPr>
          <w:p w:rsidR="00AA3EBF" w:rsidRPr="002A2119" w:rsidRDefault="00AA3EBF" w:rsidP="00AA3EB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6:2011</w:t>
            </w:r>
            <w:proofErr w:type="gramEnd"/>
          </w:p>
        </w:tc>
        <w:tc>
          <w:tcPr>
            <w:tcW w:w="3007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8:2010</w:t>
            </w:r>
            <w:proofErr w:type="gramEnd"/>
          </w:p>
        </w:tc>
        <w:tc>
          <w:tcPr>
            <w:tcW w:w="3007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9:2014</w:t>
            </w:r>
            <w:proofErr w:type="gramEnd"/>
          </w:p>
        </w:tc>
        <w:tc>
          <w:tcPr>
            <w:tcW w:w="3007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8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10:2010</w:t>
            </w:r>
            <w:proofErr w:type="gramEnd"/>
          </w:p>
        </w:tc>
        <w:tc>
          <w:tcPr>
            <w:tcW w:w="3007" w:type="dxa"/>
          </w:tcPr>
          <w:p w:rsidR="00AA3EBF" w:rsidRPr="002A2119" w:rsidRDefault="00AA3EBF" w:rsidP="00AA3EB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11:2012</w:t>
            </w:r>
            <w:proofErr w:type="gramEnd"/>
          </w:p>
        </w:tc>
        <w:tc>
          <w:tcPr>
            <w:tcW w:w="3007" w:type="dxa"/>
          </w:tcPr>
          <w:p w:rsidR="00AA3EBF" w:rsidRPr="002A2119" w:rsidRDefault="00AA3EBF" w:rsidP="00AA3EB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</w:tbl>
    <w:p w:rsidR="00D3153B" w:rsidRPr="002A2119" w:rsidRDefault="00D3153B" w:rsidP="00D3153B">
      <w:pPr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3007"/>
      </w:tblGrid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962" w:type="dxa"/>
          </w:tcPr>
          <w:p w:rsidR="00AA3EBF" w:rsidRPr="00777488" w:rsidRDefault="00AA3EBF" w:rsidP="001742E7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7748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Normas Particulares da série IEC 60601/80601 </w:t>
            </w:r>
          </w:p>
        </w:tc>
        <w:tc>
          <w:tcPr>
            <w:tcW w:w="3007" w:type="dxa"/>
          </w:tcPr>
          <w:p w:rsidR="00AA3EBF" w:rsidRPr="00777488" w:rsidRDefault="00AA3EBF" w:rsidP="001742E7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7748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Exigibilidade compulsória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1:2011</w:t>
            </w:r>
            <w:proofErr w:type="gramEnd"/>
          </w:p>
        </w:tc>
        <w:tc>
          <w:tcPr>
            <w:tcW w:w="3007" w:type="dxa"/>
          </w:tcPr>
          <w:p w:rsidR="00AA3EBF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2:2013</w:t>
            </w:r>
            <w:proofErr w:type="gramEnd"/>
          </w:p>
        </w:tc>
        <w:tc>
          <w:tcPr>
            <w:tcW w:w="3007" w:type="dxa"/>
          </w:tcPr>
          <w:p w:rsidR="00AA3EBF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3:2014</w:t>
            </w:r>
            <w:proofErr w:type="gramEnd"/>
          </w:p>
        </w:tc>
        <w:tc>
          <w:tcPr>
            <w:tcW w:w="3007" w:type="dxa"/>
          </w:tcPr>
          <w:p w:rsidR="00AA3EBF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jan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  <w:proofErr w:type="gramEnd"/>
          </w:p>
        </w:tc>
        <w:tc>
          <w:tcPr>
            <w:tcW w:w="4962" w:type="dxa"/>
          </w:tcPr>
          <w:p w:rsidR="00AA3EBF" w:rsidRPr="002A2119" w:rsidRDefault="00AA3EBF" w:rsidP="001C66D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="001C66DF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:2014</w:t>
            </w:r>
            <w:proofErr w:type="gramEnd"/>
          </w:p>
        </w:tc>
        <w:tc>
          <w:tcPr>
            <w:tcW w:w="3007" w:type="dxa"/>
          </w:tcPr>
          <w:p w:rsidR="00AA3EBF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jul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</w:p>
        </w:tc>
        <w:tc>
          <w:tcPr>
            <w:tcW w:w="4962" w:type="dxa"/>
          </w:tcPr>
          <w:p w:rsidR="00AA3EBF" w:rsidRPr="002A2119" w:rsidRDefault="004179CD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5:2012</w:t>
            </w:r>
            <w:proofErr w:type="gramEnd"/>
          </w:p>
        </w:tc>
        <w:tc>
          <w:tcPr>
            <w:tcW w:w="3007" w:type="dxa"/>
          </w:tcPr>
          <w:p w:rsidR="00AA3EBF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out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proofErr w:type="gramEnd"/>
          </w:p>
        </w:tc>
        <w:tc>
          <w:tcPr>
            <w:tcW w:w="4962" w:type="dxa"/>
          </w:tcPr>
          <w:p w:rsidR="00AA3EBF" w:rsidRPr="002A2119" w:rsidRDefault="004179CD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6:2014</w:t>
            </w:r>
            <w:proofErr w:type="gramEnd"/>
          </w:p>
        </w:tc>
        <w:tc>
          <w:tcPr>
            <w:tcW w:w="3007" w:type="dxa"/>
          </w:tcPr>
          <w:p w:rsidR="00AA3EBF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proofErr w:type="gramEnd"/>
          </w:p>
        </w:tc>
        <w:tc>
          <w:tcPr>
            <w:tcW w:w="4962" w:type="dxa"/>
          </w:tcPr>
          <w:p w:rsidR="00AA3EBF" w:rsidRPr="002A2119" w:rsidRDefault="004179CD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10:2014</w:t>
            </w:r>
            <w:proofErr w:type="gramEnd"/>
          </w:p>
        </w:tc>
        <w:tc>
          <w:tcPr>
            <w:tcW w:w="3007" w:type="dxa"/>
          </w:tcPr>
          <w:p w:rsidR="00AA3EBF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4179CD" w:rsidRPr="002A2119" w:rsidTr="001742E7">
        <w:tc>
          <w:tcPr>
            <w:tcW w:w="675" w:type="dxa"/>
          </w:tcPr>
          <w:p w:rsidR="004179CD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8</w:t>
            </w:r>
            <w:proofErr w:type="gramEnd"/>
          </w:p>
        </w:tc>
        <w:tc>
          <w:tcPr>
            <w:tcW w:w="4962" w:type="dxa"/>
          </w:tcPr>
          <w:p w:rsidR="004179CD" w:rsidRPr="002A2119" w:rsidRDefault="004179CD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80601-2-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12:2011</w:t>
            </w:r>
            <w:proofErr w:type="gramEnd"/>
          </w:p>
        </w:tc>
        <w:tc>
          <w:tcPr>
            <w:tcW w:w="3007" w:type="dxa"/>
          </w:tcPr>
          <w:p w:rsidR="004179CD" w:rsidRPr="002A2119" w:rsidRDefault="004179CD" w:rsidP="004179C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4179CD" w:rsidRPr="002A2119" w:rsidTr="001742E7">
        <w:tc>
          <w:tcPr>
            <w:tcW w:w="675" w:type="dxa"/>
          </w:tcPr>
          <w:p w:rsidR="004179CD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9</w:t>
            </w:r>
            <w:proofErr w:type="gramEnd"/>
          </w:p>
        </w:tc>
        <w:tc>
          <w:tcPr>
            <w:tcW w:w="4962" w:type="dxa"/>
          </w:tcPr>
          <w:p w:rsidR="004179CD" w:rsidRPr="002A2119" w:rsidRDefault="004179CD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ISO/IEC 80601-2-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13:2011</w:t>
            </w:r>
            <w:proofErr w:type="gramEnd"/>
          </w:p>
        </w:tc>
        <w:tc>
          <w:tcPr>
            <w:tcW w:w="3007" w:type="dxa"/>
          </w:tcPr>
          <w:p w:rsidR="004179CD" w:rsidRPr="002A2119" w:rsidRDefault="004179CD" w:rsidP="004179C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</w:p>
        </w:tc>
        <w:tc>
          <w:tcPr>
            <w:tcW w:w="4962" w:type="dxa"/>
          </w:tcPr>
          <w:p w:rsidR="00AA3EBF" w:rsidRPr="002A2119" w:rsidRDefault="004179CD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16:2012</w:t>
            </w:r>
            <w:proofErr w:type="gramEnd"/>
          </w:p>
        </w:tc>
        <w:tc>
          <w:tcPr>
            <w:tcW w:w="3007" w:type="dxa"/>
          </w:tcPr>
          <w:p w:rsidR="00AA3EBF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jul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11</w:t>
            </w:r>
          </w:p>
        </w:tc>
        <w:tc>
          <w:tcPr>
            <w:tcW w:w="4962" w:type="dxa"/>
          </w:tcPr>
          <w:p w:rsidR="00AA3EBF" w:rsidRPr="002A2119" w:rsidRDefault="004179CD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18:2014</w:t>
            </w:r>
            <w:proofErr w:type="gramEnd"/>
          </w:p>
        </w:tc>
        <w:tc>
          <w:tcPr>
            <w:tcW w:w="3007" w:type="dxa"/>
          </w:tcPr>
          <w:p w:rsidR="00AA3EBF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jan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4179CD" w:rsidRPr="002A2119" w:rsidTr="001742E7">
        <w:tc>
          <w:tcPr>
            <w:tcW w:w="675" w:type="dxa"/>
          </w:tcPr>
          <w:p w:rsidR="004179CD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12</w:t>
            </w:r>
          </w:p>
        </w:tc>
        <w:tc>
          <w:tcPr>
            <w:tcW w:w="4962" w:type="dxa"/>
          </w:tcPr>
          <w:p w:rsidR="004179CD" w:rsidRPr="002A2119" w:rsidRDefault="004179CD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19:2014</w:t>
            </w:r>
            <w:proofErr w:type="gramEnd"/>
          </w:p>
        </w:tc>
        <w:tc>
          <w:tcPr>
            <w:tcW w:w="3007" w:type="dxa"/>
          </w:tcPr>
          <w:p w:rsidR="004179CD" w:rsidRPr="002A2119" w:rsidRDefault="004179CD" w:rsidP="004179C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jul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4179CD" w:rsidRPr="002A2119" w:rsidTr="001742E7">
        <w:tc>
          <w:tcPr>
            <w:tcW w:w="675" w:type="dxa"/>
          </w:tcPr>
          <w:p w:rsidR="004179CD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</w:p>
        </w:tc>
        <w:tc>
          <w:tcPr>
            <w:tcW w:w="4962" w:type="dxa"/>
          </w:tcPr>
          <w:p w:rsidR="004179CD" w:rsidRPr="002A2119" w:rsidRDefault="004179CD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20:2012</w:t>
            </w:r>
            <w:proofErr w:type="gramEnd"/>
          </w:p>
        </w:tc>
        <w:tc>
          <w:tcPr>
            <w:tcW w:w="3007" w:type="dxa"/>
          </w:tcPr>
          <w:p w:rsidR="004179CD" w:rsidRPr="002A2119" w:rsidRDefault="004179CD" w:rsidP="004179C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jul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4179CD" w:rsidRPr="002A2119" w:rsidTr="001742E7">
        <w:tc>
          <w:tcPr>
            <w:tcW w:w="675" w:type="dxa"/>
          </w:tcPr>
          <w:p w:rsidR="004179CD" w:rsidRPr="002A2119" w:rsidRDefault="004179CD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14</w:t>
            </w:r>
          </w:p>
        </w:tc>
        <w:tc>
          <w:tcPr>
            <w:tcW w:w="4962" w:type="dxa"/>
          </w:tcPr>
          <w:p w:rsidR="004179CD" w:rsidRPr="002A2119" w:rsidRDefault="004179CD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21:2013</w:t>
            </w:r>
            <w:proofErr w:type="gramEnd"/>
          </w:p>
        </w:tc>
        <w:tc>
          <w:tcPr>
            <w:tcW w:w="3007" w:type="dxa"/>
          </w:tcPr>
          <w:p w:rsidR="004179CD" w:rsidRPr="002A2119" w:rsidRDefault="004179CD" w:rsidP="004179C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jul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15</w:t>
            </w:r>
          </w:p>
        </w:tc>
        <w:tc>
          <w:tcPr>
            <w:tcW w:w="4962" w:type="dxa"/>
          </w:tcPr>
          <w:p w:rsidR="00AA3EBF" w:rsidRPr="002A2119" w:rsidRDefault="001D0404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22:2014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16</w:t>
            </w:r>
          </w:p>
        </w:tc>
        <w:tc>
          <w:tcPr>
            <w:tcW w:w="4962" w:type="dxa"/>
          </w:tcPr>
          <w:p w:rsidR="00AA3EBF" w:rsidRPr="002A2119" w:rsidRDefault="001D0404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23:2012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17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24:2012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jul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18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25:2014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jul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19</w:t>
            </w:r>
          </w:p>
        </w:tc>
        <w:tc>
          <w:tcPr>
            <w:tcW w:w="4962" w:type="dxa"/>
          </w:tcPr>
          <w:p w:rsidR="00AA3EBF" w:rsidRPr="002A2119" w:rsidRDefault="001D0404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26:2014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20</w:t>
            </w:r>
          </w:p>
        </w:tc>
        <w:tc>
          <w:tcPr>
            <w:tcW w:w="4962" w:type="dxa"/>
          </w:tcPr>
          <w:p w:rsidR="00AA3EBF" w:rsidRPr="002A2119" w:rsidRDefault="001D0404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27:2013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jul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21</w:t>
            </w:r>
          </w:p>
        </w:tc>
        <w:tc>
          <w:tcPr>
            <w:tcW w:w="4962" w:type="dxa"/>
          </w:tcPr>
          <w:p w:rsidR="00AA3EBF" w:rsidRPr="002A2119" w:rsidRDefault="001D0404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28:2012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22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80601-2-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30:2012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23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31:2014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24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33:2010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25</w:t>
            </w:r>
          </w:p>
        </w:tc>
        <w:tc>
          <w:tcPr>
            <w:tcW w:w="4962" w:type="dxa"/>
          </w:tcPr>
          <w:p w:rsidR="00AA3EBF" w:rsidRPr="002A2119" w:rsidRDefault="001D0404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34:2014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jul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26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80601-2-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35:2013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27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36:2006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28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37:2007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out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29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38:1998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30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39:2010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31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40:1998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32</w:t>
            </w:r>
          </w:p>
        </w:tc>
        <w:tc>
          <w:tcPr>
            <w:tcW w:w="4962" w:type="dxa"/>
          </w:tcPr>
          <w:p w:rsidR="00AA3EBF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41:2012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33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43:2012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34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44:2009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35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45:2013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36</w:t>
            </w:r>
          </w:p>
        </w:tc>
        <w:tc>
          <w:tcPr>
            <w:tcW w:w="4962" w:type="dxa"/>
          </w:tcPr>
          <w:p w:rsidR="00AA3EBF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46:2012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jul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37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47:2012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38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49:2014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39</w:t>
            </w:r>
          </w:p>
        </w:tc>
        <w:tc>
          <w:tcPr>
            <w:tcW w:w="4962" w:type="dxa"/>
          </w:tcPr>
          <w:p w:rsidR="00AA3EBF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50:2010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jul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40</w:t>
            </w:r>
          </w:p>
        </w:tc>
        <w:tc>
          <w:tcPr>
            <w:tcW w:w="4962" w:type="dxa"/>
          </w:tcPr>
          <w:p w:rsidR="00AA3EBF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51:2005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41</w:t>
            </w:r>
          </w:p>
        </w:tc>
        <w:tc>
          <w:tcPr>
            <w:tcW w:w="4962" w:type="dxa"/>
          </w:tcPr>
          <w:p w:rsidR="00AA3EBF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52:2013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42</w:t>
            </w:r>
          </w:p>
        </w:tc>
        <w:tc>
          <w:tcPr>
            <w:tcW w:w="4962" w:type="dxa"/>
          </w:tcPr>
          <w:p w:rsidR="00AA3EBF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54:2011</w:t>
            </w:r>
            <w:proofErr w:type="gramEnd"/>
          </w:p>
        </w:tc>
        <w:tc>
          <w:tcPr>
            <w:tcW w:w="3007" w:type="dxa"/>
          </w:tcPr>
          <w:p w:rsidR="00AA3EBF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43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ISO/IEC 80601-2-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56:2013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44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57:2011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45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ISO/IEC 80601-2-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58:2013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46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80601-2-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61:2011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47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62:2013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48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63:2012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49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65:2012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25D18" w:rsidRPr="002A2119" w:rsidTr="001742E7">
        <w:tc>
          <w:tcPr>
            <w:tcW w:w="675" w:type="dxa"/>
          </w:tcPr>
          <w:p w:rsidR="00A25D18" w:rsidRPr="002A2119" w:rsidRDefault="00A25D18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50</w:t>
            </w:r>
          </w:p>
        </w:tc>
        <w:tc>
          <w:tcPr>
            <w:tcW w:w="4962" w:type="dxa"/>
          </w:tcPr>
          <w:p w:rsidR="00A25D18" w:rsidRPr="002A2119" w:rsidRDefault="00A25D18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60601-2-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66:2012</w:t>
            </w:r>
            <w:proofErr w:type="gramEnd"/>
          </w:p>
        </w:tc>
        <w:tc>
          <w:tcPr>
            <w:tcW w:w="3007" w:type="dxa"/>
          </w:tcPr>
          <w:p w:rsidR="00A25D18" w:rsidRPr="002A2119" w:rsidRDefault="00A25D18" w:rsidP="00A25D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</w:tbl>
    <w:p w:rsidR="00AA3EBF" w:rsidRPr="002A2119" w:rsidRDefault="00AA3EBF" w:rsidP="00D3153B">
      <w:pPr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3007"/>
      </w:tblGrid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962" w:type="dxa"/>
          </w:tcPr>
          <w:p w:rsidR="00AA3EBF" w:rsidRPr="00F34C28" w:rsidRDefault="00041316" w:rsidP="001742E7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Demais Normas</w:t>
            </w:r>
          </w:p>
        </w:tc>
        <w:tc>
          <w:tcPr>
            <w:tcW w:w="3007" w:type="dxa"/>
          </w:tcPr>
          <w:p w:rsidR="00AA3EBF" w:rsidRPr="00F34C28" w:rsidRDefault="00AA3EBF" w:rsidP="00041316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Exigibilidade compulsória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2A2119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4962" w:type="dxa"/>
          </w:tcPr>
          <w:p w:rsidR="00AA3EBF" w:rsidRPr="002A2119" w:rsidRDefault="00845AEA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14457:2012</w:t>
            </w:r>
          </w:p>
        </w:tc>
        <w:tc>
          <w:tcPr>
            <w:tcW w:w="3007" w:type="dxa"/>
          </w:tcPr>
          <w:p w:rsidR="00AA3EBF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proofErr w:type="gramEnd"/>
          </w:p>
        </w:tc>
        <w:tc>
          <w:tcPr>
            <w:tcW w:w="4962" w:type="dxa"/>
          </w:tcPr>
          <w:p w:rsidR="00041316" w:rsidRPr="002A2119" w:rsidRDefault="00845AEA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 6875:2014</w:t>
            </w:r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out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proofErr w:type="gramEnd"/>
          </w:p>
        </w:tc>
        <w:tc>
          <w:tcPr>
            <w:tcW w:w="4962" w:type="dxa"/>
          </w:tcPr>
          <w:p w:rsidR="00041316" w:rsidRPr="002A2119" w:rsidRDefault="00845AEA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9680:2007</w:t>
            </w:r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out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  <w:proofErr w:type="gramEnd"/>
          </w:p>
        </w:tc>
        <w:tc>
          <w:tcPr>
            <w:tcW w:w="4962" w:type="dxa"/>
          </w:tcPr>
          <w:p w:rsidR="00041316" w:rsidRPr="002A2119" w:rsidRDefault="00845AEA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 11195: 2000</w:t>
            </w:r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</w:p>
        </w:tc>
        <w:tc>
          <w:tcPr>
            <w:tcW w:w="4962" w:type="dxa"/>
          </w:tcPr>
          <w:p w:rsidR="00041316" w:rsidRPr="002A2119" w:rsidRDefault="00845AEA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 10651-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3:2014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proofErr w:type="gramEnd"/>
          </w:p>
        </w:tc>
        <w:tc>
          <w:tcPr>
            <w:tcW w:w="4962" w:type="dxa"/>
          </w:tcPr>
          <w:p w:rsidR="00041316" w:rsidRPr="002A2119" w:rsidRDefault="00845AEA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 10651-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4:2011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AA3EBF" w:rsidRPr="002A2119" w:rsidTr="001742E7">
        <w:tc>
          <w:tcPr>
            <w:tcW w:w="675" w:type="dxa"/>
          </w:tcPr>
          <w:p w:rsidR="00AA3EBF" w:rsidRPr="00FB23E6" w:rsidRDefault="00AA3EBF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23E6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proofErr w:type="gramEnd"/>
          </w:p>
        </w:tc>
        <w:tc>
          <w:tcPr>
            <w:tcW w:w="4962" w:type="dxa"/>
          </w:tcPr>
          <w:p w:rsidR="00AA3EBF" w:rsidRPr="00FB23E6" w:rsidRDefault="00845AEA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23E6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 7176-</w:t>
            </w:r>
            <w:proofErr w:type="gramStart"/>
            <w:r w:rsidRPr="00FB23E6">
              <w:rPr>
                <w:rFonts w:ascii="Times New Roman" w:hAnsi="Times New Roman" w:cs="Times New Roman"/>
                <w:strike/>
                <w:sz w:val="24"/>
                <w:szCs w:val="24"/>
              </w:rPr>
              <w:t>1:2009</w:t>
            </w:r>
            <w:proofErr w:type="gramEnd"/>
          </w:p>
        </w:tc>
        <w:tc>
          <w:tcPr>
            <w:tcW w:w="3007" w:type="dxa"/>
          </w:tcPr>
          <w:p w:rsidR="00AA3EBF" w:rsidRPr="00FB23E6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23E6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8</w:t>
            </w:r>
            <w:proofErr w:type="gramEnd"/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2:2001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proofErr w:type="gramEnd"/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3:2009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4:2008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11</w:t>
            </w:r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5:2008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12</w:t>
            </w:r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6:2001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7:2009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14</w:t>
            </w:r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8:2009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vigente</w:t>
            </w:r>
            <w:proofErr w:type="gramEnd"/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15</w:t>
            </w:r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9:2009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16</w:t>
            </w:r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10:2008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17</w:t>
            </w:r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13:2009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18</w:t>
            </w:r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14:2008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19</w:t>
            </w:r>
          </w:p>
        </w:tc>
        <w:tc>
          <w:tcPr>
            <w:tcW w:w="4962" w:type="dxa"/>
          </w:tcPr>
          <w:p w:rsidR="00041316" w:rsidRPr="002A2119" w:rsidRDefault="00880775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16:2012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20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19:2008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21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21:2009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22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22:2009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23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7176-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25:2013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24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60118-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0:1983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25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IEC 60118-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7:2014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26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60118-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13:2011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27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ABNT NBR ISO 15883-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2:2013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28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15883-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4:2008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29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15883-</w:t>
            </w: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6:2011</w:t>
            </w:r>
            <w:proofErr w:type="gramEnd"/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30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ISO 15197:2013</w:t>
            </w:r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  <w:tr w:rsidR="00041316" w:rsidRPr="002A2119" w:rsidTr="001742E7">
        <w:tc>
          <w:tcPr>
            <w:tcW w:w="675" w:type="dxa"/>
          </w:tcPr>
          <w:p w:rsidR="00041316" w:rsidRPr="002A2119" w:rsidRDefault="00041316" w:rsidP="001742E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31</w:t>
            </w:r>
          </w:p>
        </w:tc>
        <w:tc>
          <w:tcPr>
            <w:tcW w:w="4962" w:type="dxa"/>
          </w:tcPr>
          <w:p w:rsidR="00041316" w:rsidRPr="002A2119" w:rsidRDefault="004D2E12" w:rsidP="001742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IEC 61010-2-101:2002</w:t>
            </w:r>
          </w:p>
        </w:tc>
        <w:tc>
          <w:tcPr>
            <w:tcW w:w="3007" w:type="dxa"/>
          </w:tcPr>
          <w:p w:rsidR="00041316" w:rsidRPr="002A2119" w:rsidRDefault="00041316" w:rsidP="00041316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dez</w:t>
            </w:r>
            <w:proofErr w:type="gramEnd"/>
            <w:r w:rsidRPr="002A2119">
              <w:rPr>
                <w:rFonts w:ascii="Times New Roman" w:hAnsi="Times New Roman" w:cs="Times New Roman"/>
                <w:strike/>
                <w:sz w:val="24"/>
                <w:szCs w:val="24"/>
              </w:rPr>
              <w:t>/15</w:t>
            </w:r>
          </w:p>
        </w:tc>
      </w:tr>
    </w:tbl>
    <w:p w:rsidR="00AA3EBF" w:rsidRPr="002A2119" w:rsidRDefault="00AA3EBF" w:rsidP="00D3153B">
      <w:pPr>
        <w:rPr>
          <w:rFonts w:ascii="Times New Roman" w:hAnsi="Times New Roman" w:cs="Times New Roman"/>
          <w:strike/>
          <w:sz w:val="24"/>
          <w:szCs w:val="24"/>
        </w:rPr>
      </w:pPr>
    </w:p>
    <w:p w:rsidR="00D3153B" w:rsidRPr="002A2119" w:rsidRDefault="00D3153B" w:rsidP="00D3153B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D3153B" w:rsidRPr="002A2119" w:rsidSect="003A63D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2E7" w:rsidRDefault="001742E7" w:rsidP="002A2119">
      <w:pPr>
        <w:spacing w:after="0" w:line="240" w:lineRule="auto"/>
      </w:pPr>
      <w:r>
        <w:separator/>
      </w:r>
    </w:p>
  </w:endnote>
  <w:endnote w:type="continuationSeparator" w:id="0">
    <w:p w:rsidR="001742E7" w:rsidRDefault="001742E7" w:rsidP="002A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E7" w:rsidRDefault="001742E7" w:rsidP="002A2119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1742E7" w:rsidRDefault="001742E7" w:rsidP="002A2119">
    <w:pPr>
      <w:pStyle w:val="Rodap"/>
    </w:pPr>
  </w:p>
  <w:p w:rsidR="001742E7" w:rsidRDefault="001742E7" w:rsidP="002A2119">
    <w:pPr>
      <w:pStyle w:val="Rodap"/>
    </w:pPr>
  </w:p>
  <w:p w:rsidR="001742E7" w:rsidRDefault="001742E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2E7" w:rsidRDefault="001742E7" w:rsidP="002A2119">
      <w:pPr>
        <w:spacing w:after="0" w:line="240" w:lineRule="auto"/>
      </w:pPr>
      <w:r>
        <w:separator/>
      </w:r>
    </w:p>
  </w:footnote>
  <w:footnote w:type="continuationSeparator" w:id="0">
    <w:p w:rsidR="001742E7" w:rsidRDefault="001742E7" w:rsidP="002A2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E7" w:rsidRDefault="001742E7" w:rsidP="002A2119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085"/>
          <wp:effectExtent l="19050" t="0" r="0" b="0"/>
          <wp:docPr id="2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742E7" w:rsidRPr="007C54E1" w:rsidRDefault="001742E7" w:rsidP="002A2119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1742E7" w:rsidRPr="007C54E1" w:rsidRDefault="001742E7" w:rsidP="002A2119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1742E7" w:rsidRDefault="001742E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1307"/>
    <w:rsid w:val="00041316"/>
    <w:rsid w:val="000D7005"/>
    <w:rsid w:val="00112380"/>
    <w:rsid w:val="001742E7"/>
    <w:rsid w:val="001C4110"/>
    <w:rsid w:val="001C66DF"/>
    <w:rsid w:val="001D0404"/>
    <w:rsid w:val="001E708B"/>
    <w:rsid w:val="002667A1"/>
    <w:rsid w:val="00276EC4"/>
    <w:rsid w:val="002A2119"/>
    <w:rsid w:val="002D0967"/>
    <w:rsid w:val="003A63DA"/>
    <w:rsid w:val="00401B2A"/>
    <w:rsid w:val="00404CF4"/>
    <w:rsid w:val="004179CD"/>
    <w:rsid w:val="00464CC6"/>
    <w:rsid w:val="004A620F"/>
    <w:rsid w:val="004D2E12"/>
    <w:rsid w:val="0050237A"/>
    <w:rsid w:val="00554A67"/>
    <w:rsid w:val="005B2BE5"/>
    <w:rsid w:val="005B5397"/>
    <w:rsid w:val="005F3F0F"/>
    <w:rsid w:val="006102ED"/>
    <w:rsid w:val="006C1545"/>
    <w:rsid w:val="007441BF"/>
    <w:rsid w:val="00777488"/>
    <w:rsid w:val="00786686"/>
    <w:rsid w:val="007E2116"/>
    <w:rsid w:val="00845AEA"/>
    <w:rsid w:val="00880775"/>
    <w:rsid w:val="00A25D18"/>
    <w:rsid w:val="00AA3EBF"/>
    <w:rsid w:val="00B30817"/>
    <w:rsid w:val="00B37306"/>
    <w:rsid w:val="00C10E08"/>
    <w:rsid w:val="00C27431"/>
    <w:rsid w:val="00C3192A"/>
    <w:rsid w:val="00C6621B"/>
    <w:rsid w:val="00D21A4C"/>
    <w:rsid w:val="00D3153B"/>
    <w:rsid w:val="00D621E1"/>
    <w:rsid w:val="00D70FAB"/>
    <w:rsid w:val="00D722A2"/>
    <w:rsid w:val="00DB6CAA"/>
    <w:rsid w:val="00E41307"/>
    <w:rsid w:val="00E5251E"/>
    <w:rsid w:val="00E9794D"/>
    <w:rsid w:val="00EE7F1F"/>
    <w:rsid w:val="00F34C28"/>
    <w:rsid w:val="00F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3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A2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2119"/>
  </w:style>
  <w:style w:type="paragraph" w:styleId="Rodap">
    <w:name w:val="footer"/>
    <w:basedOn w:val="Normal"/>
    <w:link w:val="RodapChar"/>
    <w:uiPriority w:val="99"/>
    <w:unhideWhenUsed/>
    <w:rsid w:val="002A2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2119"/>
  </w:style>
  <w:style w:type="paragraph" w:styleId="Textodebalo">
    <w:name w:val="Balloon Text"/>
    <w:basedOn w:val="Normal"/>
    <w:link w:val="TextodebaloChar"/>
    <w:uiPriority w:val="99"/>
    <w:semiHidden/>
    <w:unhideWhenUsed/>
    <w:rsid w:val="002A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2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3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F5B07-B37F-4578-BF28-DA340C740E1D}"/>
</file>

<file path=customXml/itemProps2.xml><?xml version="1.0" encoding="utf-8"?>
<ds:datastoreItem xmlns:ds="http://schemas.openxmlformats.org/officeDocument/2006/customXml" ds:itemID="{B2E79665-5798-407C-AD0D-29166E87F533}"/>
</file>

<file path=customXml/itemProps3.xml><?xml version="1.0" encoding="utf-8"?>
<ds:datastoreItem xmlns:ds="http://schemas.openxmlformats.org/officeDocument/2006/customXml" ds:itemID="{6B0239ED-86F0-4CD5-A57F-3FDC613727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3724</Words>
  <Characters>20113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34</cp:revision>
  <cp:lastPrinted>2016-10-21T13:41:00Z</cp:lastPrinted>
  <dcterms:created xsi:type="dcterms:W3CDTF">2016-02-18T19:04:00Z</dcterms:created>
  <dcterms:modified xsi:type="dcterms:W3CDTF">2016-10-21T13:41:00Z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