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3F4" w:rsidRPr="00725666" w:rsidRDefault="00BD2134" w:rsidP="001423F4">
      <w:pPr>
        <w:pStyle w:val="Ttulo1"/>
        <w:divId w:val="331639225"/>
        <w:rPr>
          <w:rFonts w:ascii="Times New Roman" w:hAnsi="Times New Roman" w:cs="Times New Roman"/>
          <w:sz w:val="24"/>
          <w:szCs w:val="24"/>
        </w:rPr>
      </w:pPr>
      <w:r w:rsidRPr="00725666">
        <w:rPr>
          <w:rFonts w:ascii="Times New Roman" w:hAnsi="Times New Roman" w:cs="Times New Roman"/>
          <w:sz w:val="24"/>
          <w:szCs w:val="24"/>
        </w:rPr>
        <w:t>INSTRUÇÃO NORMATIVA Nº 12, DE 12 DE NOVEMBRO DE 2010</w:t>
      </w:r>
    </w:p>
    <w:p w:rsidR="001423F4" w:rsidRDefault="001423F4" w:rsidP="005C6A09">
      <w:pPr>
        <w:jc w:val="center"/>
        <w:divId w:val="331639225"/>
        <w:rPr>
          <w:b/>
          <w:color w:val="0000FF"/>
        </w:rPr>
      </w:pPr>
      <w:r w:rsidRPr="00AF4EA2">
        <w:rPr>
          <w:b/>
          <w:color w:val="0000FF"/>
        </w:rPr>
        <w:t>(Publicada em DOU nº 218, de 16 de novembro de 2010)</w:t>
      </w:r>
    </w:p>
    <w:p w:rsidR="00BD2134" w:rsidRDefault="00BD2134" w:rsidP="000B439D">
      <w:pPr>
        <w:ind w:left="3969"/>
        <w:jc w:val="both"/>
        <w:divId w:val="331639225"/>
      </w:pPr>
      <w:r w:rsidRPr="00725666">
        <w:t>Fixa as alçadas decisórias e define as diretrizes para descentralização de decisões no âmbito da competência da Agência Nacional de Vigilância Sanitária – ANVISA, relativas à aquisição, alienação e locação de bens, e contratação de obras e serviços, decorrentes do processo licitação e dos processos de dispensa ou inexigibilidade de licitação.</w:t>
      </w:r>
    </w:p>
    <w:p w:rsidR="00BD2134" w:rsidRPr="00725666" w:rsidRDefault="00BD2134" w:rsidP="00BD2134">
      <w:pPr>
        <w:ind w:firstLine="567"/>
        <w:jc w:val="both"/>
        <w:divId w:val="331639225"/>
      </w:pPr>
      <w:r w:rsidRPr="00725666">
        <w:rPr>
          <w:b/>
        </w:rPr>
        <w:t xml:space="preserve">O Diretor Presidente da Agência Nacional de Vigilância Sanitária </w:t>
      </w:r>
      <w:r w:rsidRPr="00725666">
        <w:t>– ANVISA, no uso das atribuições que lhe confere o Decreto de nomeação de 04 de janeiro de 2008 do Presidente da República e os incisos V, VII e X do art. 16 da Lei n. 9.782/99, tendo em vista o disposto no inciso XIII do art. 13 do Regulamento da ANVISA aprovado pelo Decreto n. 3.571, de 21 de agosto de 2000, aliado ao que dispõem os incisos V, VII, VIII, IX e XI do art. 16 e o inciso IV do art. 55 do Regimento Interno aprovado nos termos do Anexo I, da Portaria n. 354, de 11 de agosto de 2006, republicado no DOU de 21 de agosto de 2006, RESOLVE</w:t>
      </w:r>
    </w:p>
    <w:p w:rsidR="00BD2134" w:rsidRPr="003B1519" w:rsidRDefault="00BD2134" w:rsidP="007A2033">
      <w:pPr>
        <w:jc w:val="center"/>
        <w:divId w:val="331639225"/>
        <w:rPr>
          <w:b/>
        </w:rPr>
      </w:pPr>
      <w:r w:rsidRPr="003B1519">
        <w:rPr>
          <w:b/>
        </w:rPr>
        <w:t>DAS DISPOSIÇÕES INICIAIS</w:t>
      </w:r>
    </w:p>
    <w:p w:rsidR="00BD2134" w:rsidRPr="00725666" w:rsidRDefault="00BD2134" w:rsidP="00BD2134">
      <w:pPr>
        <w:ind w:firstLine="567"/>
        <w:jc w:val="both"/>
        <w:divId w:val="331639225"/>
      </w:pPr>
      <w:r w:rsidRPr="00725666">
        <w:t xml:space="preserve">Art. 1º Os processos administrativos que visam a aquisição, a alienação e a locação de bens e a contratação de obras e serviços, resultantes de licitações, </w:t>
      </w:r>
      <w:proofErr w:type="gramStart"/>
      <w:r w:rsidRPr="00725666">
        <w:t>dispensa</w:t>
      </w:r>
      <w:proofErr w:type="gramEnd"/>
      <w:r w:rsidRPr="00725666">
        <w:t xml:space="preserve"> ou inexigibilidade de licitação, devem observar, dentre outros, os princípios da legalidade, igualdade, impessoalidade, publicidade, probidade administrativa, finalidade, motivação, razoabilidade, proporcionalidade, moralidade, segurança jurídica, isonomia, interesse público e eficiência.</w:t>
      </w:r>
    </w:p>
    <w:p w:rsidR="00BD2134" w:rsidRPr="00725666" w:rsidRDefault="00BD2134" w:rsidP="00BD2134">
      <w:pPr>
        <w:ind w:firstLine="567"/>
        <w:jc w:val="both"/>
        <w:divId w:val="331639225"/>
      </w:pPr>
      <w:r w:rsidRPr="00725666">
        <w:t>Art. 2º Toda solicitação de aquisição, alienação e locação de bens e de contratação de obras e serviços deve ser definida, quantificada, estimada, motivada e justificada pela autoridade demandante.</w:t>
      </w:r>
    </w:p>
    <w:p w:rsidR="00BD2134" w:rsidRPr="003B1519" w:rsidRDefault="00BD2134" w:rsidP="007A2033">
      <w:pPr>
        <w:jc w:val="center"/>
        <w:divId w:val="331639225"/>
        <w:rPr>
          <w:b/>
        </w:rPr>
      </w:pPr>
      <w:r w:rsidRPr="003B1519">
        <w:rPr>
          <w:b/>
        </w:rPr>
        <w:t>DOS VALORES PARA DEFINIÇÃO DAS ALÇADAS</w:t>
      </w:r>
    </w:p>
    <w:p w:rsidR="00BD2134" w:rsidRPr="0084524E" w:rsidRDefault="00BD2134" w:rsidP="0084524E">
      <w:pPr>
        <w:ind w:firstLine="567"/>
        <w:jc w:val="both"/>
        <w:divId w:val="331639225"/>
        <w:rPr>
          <w:strike/>
        </w:rPr>
      </w:pPr>
      <w:r w:rsidRPr="0084524E">
        <w:rPr>
          <w:strike/>
        </w:rPr>
        <w:t xml:space="preserve">Art. 3º Os limites de alçada para autorizar a deflagração do processo de licitação, visando </w:t>
      </w:r>
      <w:proofErr w:type="gramStart"/>
      <w:r w:rsidRPr="0084524E">
        <w:rPr>
          <w:strike/>
        </w:rPr>
        <w:t>a</w:t>
      </w:r>
      <w:proofErr w:type="gramEnd"/>
      <w:r w:rsidRPr="0084524E">
        <w:rPr>
          <w:strike/>
        </w:rPr>
        <w:t xml:space="preserve"> aquisição, alienação e locação de bens e a contratação de obras e serviços, com valores estimados pela autoridade demandante são os seguintes:</w:t>
      </w:r>
    </w:p>
    <w:p w:rsidR="00BD2134" w:rsidRPr="0084524E" w:rsidRDefault="00BD2134" w:rsidP="0084524E">
      <w:pPr>
        <w:ind w:firstLine="567"/>
        <w:jc w:val="both"/>
        <w:divId w:val="331639225"/>
        <w:rPr>
          <w:strike/>
        </w:rPr>
      </w:pPr>
      <w:r w:rsidRPr="0084524E">
        <w:rPr>
          <w:strike/>
        </w:rPr>
        <w:t xml:space="preserve">I- Gerente Geral de Gestão Administrativa e Financeira: até R$ 150.000,00 (cento e </w:t>
      </w:r>
      <w:proofErr w:type="spellStart"/>
      <w:r w:rsidRPr="0084524E">
        <w:rPr>
          <w:strike/>
        </w:rPr>
        <w:t>cinqüenta</w:t>
      </w:r>
      <w:proofErr w:type="spellEnd"/>
      <w:r w:rsidRPr="0084524E">
        <w:rPr>
          <w:strike/>
        </w:rPr>
        <w:t xml:space="preserve"> mil reais);</w:t>
      </w:r>
    </w:p>
    <w:p w:rsidR="00BD2134" w:rsidRPr="0084524E" w:rsidRDefault="00BD2134" w:rsidP="0084524E">
      <w:pPr>
        <w:ind w:firstLine="567"/>
        <w:jc w:val="both"/>
        <w:divId w:val="331639225"/>
        <w:rPr>
          <w:strike/>
        </w:rPr>
      </w:pPr>
      <w:r w:rsidRPr="0084524E">
        <w:rPr>
          <w:strike/>
        </w:rPr>
        <w:lastRenderedPageBreak/>
        <w:t xml:space="preserve">II- Gerente Geral de Portos, Aeroportos, Fronteiras e Recintos Alfandegados: até R$ 150.000,00 (cento e </w:t>
      </w:r>
      <w:proofErr w:type="spellStart"/>
      <w:r w:rsidRPr="0084524E">
        <w:rPr>
          <w:strike/>
        </w:rPr>
        <w:t>cinqüenta</w:t>
      </w:r>
      <w:proofErr w:type="spellEnd"/>
      <w:r w:rsidRPr="0084524E">
        <w:rPr>
          <w:strike/>
        </w:rPr>
        <w:t xml:space="preserve"> mil reais);</w:t>
      </w:r>
    </w:p>
    <w:p w:rsidR="00BD2134" w:rsidRPr="0084524E" w:rsidRDefault="00BD2134" w:rsidP="0084524E">
      <w:pPr>
        <w:ind w:firstLine="567"/>
        <w:jc w:val="both"/>
        <w:divId w:val="331639225"/>
        <w:rPr>
          <w:strike/>
        </w:rPr>
      </w:pPr>
      <w:r w:rsidRPr="0084524E">
        <w:rPr>
          <w:strike/>
        </w:rPr>
        <w:t xml:space="preserve">III- Diretor Supervisor: acima de R$ 150.000 (cento e </w:t>
      </w:r>
      <w:proofErr w:type="spellStart"/>
      <w:r w:rsidRPr="0084524E">
        <w:rPr>
          <w:strike/>
        </w:rPr>
        <w:t>cinqüenta</w:t>
      </w:r>
      <w:proofErr w:type="spellEnd"/>
      <w:r w:rsidRPr="0084524E">
        <w:rPr>
          <w:strike/>
        </w:rPr>
        <w:t xml:space="preserve"> mil reais)</w:t>
      </w:r>
    </w:p>
    <w:p w:rsidR="00725666" w:rsidRDefault="00725666" w:rsidP="00EC6226">
      <w:pPr>
        <w:pStyle w:val="Default"/>
        <w:ind w:firstLine="567"/>
        <w:jc w:val="both"/>
        <w:divId w:val="331639225"/>
        <w:rPr>
          <w:rFonts w:ascii="Times New Roman" w:hAnsi="Times New Roman" w:cs="Times New Roman"/>
          <w:b/>
          <w:color w:val="0000FF"/>
        </w:rPr>
      </w:pPr>
      <w:r w:rsidRPr="0084524E">
        <w:rPr>
          <w:rFonts w:ascii="Times New Roman" w:hAnsi="Times New Roman" w:cs="Times New Roman"/>
        </w:rPr>
        <w:t>“Art.</w:t>
      </w:r>
      <w:r w:rsidR="00647873">
        <w:rPr>
          <w:rFonts w:ascii="Times New Roman" w:hAnsi="Times New Roman" w:cs="Times New Roman"/>
        </w:rPr>
        <w:t xml:space="preserve"> </w:t>
      </w:r>
      <w:r w:rsidRPr="0084524E">
        <w:rPr>
          <w:rFonts w:ascii="Times New Roman" w:hAnsi="Times New Roman" w:cs="Times New Roman"/>
        </w:rPr>
        <w:t xml:space="preserve">3° Os limites de alçada para autorizar a deflagração do processo de licitação, visando </w:t>
      </w:r>
      <w:proofErr w:type="gramStart"/>
      <w:r w:rsidRPr="0084524E">
        <w:rPr>
          <w:rFonts w:ascii="Times New Roman" w:hAnsi="Times New Roman" w:cs="Times New Roman"/>
        </w:rPr>
        <w:t>a</w:t>
      </w:r>
      <w:proofErr w:type="gramEnd"/>
      <w:r w:rsidRPr="0084524E">
        <w:rPr>
          <w:rFonts w:ascii="Times New Roman" w:hAnsi="Times New Roman" w:cs="Times New Roman"/>
        </w:rPr>
        <w:t xml:space="preserve"> aquisição, alienação e locação de bens e a contratação de obras e serviços, com valores estimados pela autoridade demandante, assim como para possíveis prorrogações contratuais são os seguintes: </w:t>
      </w:r>
      <w:r w:rsidR="00D824BC" w:rsidRPr="009C4153">
        <w:rPr>
          <w:rFonts w:ascii="Times New Roman" w:hAnsi="Times New Roman" w:cs="Times New Roman"/>
          <w:b/>
          <w:color w:val="0000FF"/>
        </w:rPr>
        <w:t>(Redação dada pela Instrução Normativa nº 07, de 31 de outubro de 2013)</w:t>
      </w:r>
    </w:p>
    <w:p w:rsidR="00EC6226" w:rsidRPr="0084524E" w:rsidRDefault="00EC6226" w:rsidP="00EC6226">
      <w:pPr>
        <w:pStyle w:val="Default"/>
        <w:ind w:firstLine="150"/>
        <w:jc w:val="both"/>
        <w:divId w:val="331639225"/>
        <w:rPr>
          <w:rFonts w:ascii="Times New Roman" w:hAnsi="Times New Roman" w:cs="Times New Roman"/>
        </w:rPr>
      </w:pPr>
    </w:p>
    <w:p w:rsidR="00725666" w:rsidRPr="00EC6226" w:rsidRDefault="00725666" w:rsidP="0084524E">
      <w:pPr>
        <w:pStyle w:val="Default"/>
        <w:numPr>
          <w:ilvl w:val="0"/>
          <w:numId w:val="1"/>
        </w:numPr>
        <w:ind w:left="150" w:right="150"/>
        <w:jc w:val="both"/>
        <w:divId w:val="331639225"/>
        <w:rPr>
          <w:rFonts w:ascii="Times New Roman" w:hAnsi="Times New Roman" w:cs="Times New Roman"/>
        </w:rPr>
      </w:pPr>
      <w:r w:rsidRPr="0084524E">
        <w:rPr>
          <w:rFonts w:ascii="Times New Roman" w:hAnsi="Times New Roman" w:cs="Times New Roman"/>
        </w:rPr>
        <w:t xml:space="preserve">I- Coordenadores de Vigilância Sanitária de Portos, Aeroportos, Fronteiras e Recintos Alfandegados: Até R$ 150.000,00 (cento e cinquenta mil reais); </w:t>
      </w:r>
      <w:r w:rsidR="00D824BC" w:rsidRPr="009C4153">
        <w:rPr>
          <w:rFonts w:ascii="Times New Roman" w:hAnsi="Times New Roman" w:cs="Times New Roman"/>
          <w:b/>
          <w:color w:val="0000FF"/>
        </w:rPr>
        <w:t>(Redação dada pela Instrução Normativa nº 07, de 31 de outubro de 2013</w:t>
      </w:r>
      <w:proofErr w:type="gramStart"/>
      <w:r w:rsidR="00D824BC" w:rsidRPr="009C4153">
        <w:rPr>
          <w:rFonts w:ascii="Times New Roman" w:hAnsi="Times New Roman" w:cs="Times New Roman"/>
          <w:b/>
          <w:color w:val="0000FF"/>
        </w:rPr>
        <w:t>)</w:t>
      </w:r>
      <w:proofErr w:type="gramEnd"/>
    </w:p>
    <w:p w:rsidR="00EC6226" w:rsidRPr="0084524E" w:rsidRDefault="00EC6226" w:rsidP="0084524E">
      <w:pPr>
        <w:pStyle w:val="Default"/>
        <w:numPr>
          <w:ilvl w:val="0"/>
          <w:numId w:val="1"/>
        </w:numPr>
        <w:ind w:left="150" w:right="150"/>
        <w:jc w:val="both"/>
        <w:divId w:val="331639225"/>
        <w:rPr>
          <w:rFonts w:ascii="Times New Roman" w:hAnsi="Times New Roman" w:cs="Times New Roman"/>
        </w:rPr>
      </w:pPr>
    </w:p>
    <w:p w:rsidR="00725666" w:rsidRPr="00EC6226" w:rsidRDefault="00725666" w:rsidP="0084524E">
      <w:pPr>
        <w:pStyle w:val="Default"/>
        <w:numPr>
          <w:ilvl w:val="0"/>
          <w:numId w:val="1"/>
        </w:numPr>
        <w:ind w:left="150" w:right="150"/>
        <w:jc w:val="both"/>
        <w:divId w:val="331639225"/>
        <w:rPr>
          <w:rFonts w:ascii="Times New Roman" w:hAnsi="Times New Roman" w:cs="Times New Roman"/>
        </w:rPr>
      </w:pPr>
      <w:r w:rsidRPr="0084524E">
        <w:rPr>
          <w:rFonts w:ascii="Times New Roman" w:hAnsi="Times New Roman" w:cs="Times New Roman"/>
        </w:rPr>
        <w:t xml:space="preserve">II- Gerente Geral de Gestão Administrativa e Financeira: até R$ 500.000,00 (quinhentos mil reais); </w:t>
      </w:r>
      <w:r w:rsidR="00D824BC" w:rsidRPr="009C4153">
        <w:rPr>
          <w:rFonts w:ascii="Times New Roman" w:hAnsi="Times New Roman" w:cs="Times New Roman"/>
          <w:b/>
          <w:color w:val="0000FF"/>
        </w:rPr>
        <w:t>(Redação dada pela Instrução Normativa nº 07, de 31 de outubro de 2013</w:t>
      </w:r>
      <w:proofErr w:type="gramStart"/>
      <w:r w:rsidR="00D824BC" w:rsidRPr="009C4153">
        <w:rPr>
          <w:rFonts w:ascii="Times New Roman" w:hAnsi="Times New Roman" w:cs="Times New Roman"/>
          <w:b/>
          <w:color w:val="0000FF"/>
        </w:rPr>
        <w:t>)</w:t>
      </w:r>
      <w:proofErr w:type="gramEnd"/>
    </w:p>
    <w:p w:rsidR="00EC6226" w:rsidRDefault="00EC6226" w:rsidP="00EC6226">
      <w:pPr>
        <w:pStyle w:val="PargrafodaLista"/>
        <w:divId w:val="331639225"/>
      </w:pPr>
    </w:p>
    <w:p w:rsidR="00725666" w:rsidRPr="00EC6226" w:rsidRDefault="00725666" w:rsidP="0084524E">
      <w:pPr>
        <w:pStyle w:val="Default"/>
        <w:numPr>
          <w:ilvl w:val="0"/>
          <w:numId w:val="1"/>
        </w:numPr>
        <w:ind w:left="150" w:right="150"/>
        <w:jc w:val="both"/>
        <w:divId w:val="331639225"/>
        <w:rPr>
          <w:rFonts w:ascii="Times New Roman" w:hAnsi="Times New Roman" w:cs="Times New Roman"/>
        </w:rPr>
      </w:pPr>
      <w:r w:rsidRPr="0084524E">
        <w:rPr>
          <w:rFonts w:ascii="Times New Roman" w:hAnsi="Times New Roman" w:cs="Times New Roman"/>
        </w:rPr>
        <w:t xml:space="preserve">III- Gerente Geral de Portos, Aeroportos, Fronteiras e Recintos Alfandegados: até R$ 500.000,00 (quinhentos mil reais); </w:t>
      </w:r>
      <w:r w:rsidR="00D824BC" w:rsidRPr="009C4153">
        <w:rPr>
          <w:rFonts w:ascii="Times New Roman" w:hAnsi="Times New Roman" w:cs="Times New Roman"/>
          <w:b/>
          <w:color w:val="0000FF"/>
        </w:rPr>
        <w:t>(Redação dada pela Instrução Normativa nº 07, de 31 de outubro de 2013</w:t>
      </w:r>
      <w:proofErr w:type="gramStart"/>
      <w:r w:rsidR="00D824BC" w:rsidRPr="009C4153">
        <w:rPr>
          <w:rFonts w:ascii="Times New Roman" w:hAnsi="Times New Roman" w:cs="Times New Roman"/>
          <w:b/>
          <w:color w:val="0000FF"/>
        </w:rPr>
        <w:t>)</w:t>
      </w:r>
      <w:proofErr w:type="gramEnd"/>
    </w:p>
    <w:p w:rsidR="00EC6226" w:rsidRDefault="00EC6226" w:rsidP="00EC6226">
      <w:pPr>
        <w:pStyle w:val="PargrafodaLista"/>
        <w:divId w:val="331639225"/>
      </w:pPr>
    </w:p>
    <w:p w:rsidR="00725666" w:rsidRPr="00EC6226" w:rsidRDefault="00725666" w:rsidP="0084524E">
      <w:pPr>
        <w:pStyle w:val="Default"/>
        <w:numPr>
          <w:ilvl w:val="0"/>
          <w:numId w:val="1"/>
        </w:numPr>
        <w:ind w:left="150" w:right="150"/>
        <w:jc w:val="both"/>
        <w:divId w:val="331639225"/>
        <w:rPr>
          <w:rFonts w:ascii="Times New Roman" w:hAnsi="Times New Roman" w:cs="Times New Roman"/>
          <w:b/>
        </w:rPr>
      </w:pPr>
      <w:r w:rsidRPr="0084524E">
        <w:rPr>
          <w:rFonts w:ascii="Times New Roman" w:hAnsi="Times New Roman" w:cs="Times New Roman"/>
        </w:rPr>
        <w:t xml:space="preserve">IV- Diretor de Gestão Institucional: até R$ 1.000.000,00 (um milhão de reais); </w:t>
      </w:r>
      <w:r w:rsidR="00E34233" w:rsidRPr="009C4153">
        <w:rPr>
          <w:rFonts w:ascii="Times New Roman" w:hAnsi="Times New Roman" w:cs="Times New Roman"/>
          <w:b/>
          <w:color w:val="0000FF"/>
        </w:rPr>
        <w:t>(Incluído</w:t>
      </w:r>
      <w:r w:rsidR="00D824BC" w:rsidRPr="009C4153">
        <w:rPr>
          <w:rFonts w:ascii="Times New Roman" w:hAnsi="Times New Roman" w:cs="Times New Roman"/>
          <w:b/>
          <w:color w:val="0000FF"/>
        </w:rPr>
        <w:t xml:space="preserve"> pela Instrução Normativa nº 07, de 31 de outubro de 2013</w:t>
      </w:r>
      <w:proofErr w:type="gramStart"/>
      <w:r w:rsidR="00D824BC" w:rsidRPr="009C4153">
        <w:rPr>
          <w:rFonts w:ascii="Times New Roman" w:hAnsi="Times New Roman" w:cs="Times New Roman"/>
          <w:b/>
          <w:color w:val="0000FF"/>
        </w:rPr>
        <w:t>)</w:t>
      </w:r>
      <w:proofErr w:type="gramEnd"/>
    </w:p>
    <w:p w:rsidR="00EC6226" w:rsidRDefault="00EC6226" w:rsidP="00EC6226">
      <w:pPr>
        <w:pStyle w:val="PargrafodaLista"/>
        <w:divId w:val="331639225"/>
        <w:rPr>
          <w:b/>
        </w:rPr>
      </w:pPr>
    </w:p>
    <w:p w:rsidR="00725666" w:rsidRPr="00EC6226" w:rsidRDefault="00725666" w:rsidP="0084524E">
      <w:pPr>
        <w:pStyle w:val="Default"/>
        <w:numPr>
          <w:ilvl w:val="0"/>
          <w:numId w:val="1"/>
        </w:numPr>
        <w:ind w:left="150" w:right="150"/>
        <w:jc w:val="both"/>
        <w:divId w:val="331639225"/>
        <w:rPr>
          <w:rFonts w:ascii="Times New Roman" w:hAnsi="Times New Roman" w:cs="Times New Roman"/>
        </w:rPr>
      </w:pPr>
      <w:r w:rsidRPr="0084524E">
        <w:rPr>
          <w:rFonts w:ascii="Times New Roman" w:hAnsi="Times New Roman" w:cs="Times New Roman"/>
        </w:rPr>
        <w:t xml:space="preserve">V- Diretor Presidente: Até R$ 10.000.000,00 (dez milhões de reais); </w:t>
      </w:r>
      <w:r w:rsidR="00E34233" w:rsidRPr="009C4153">
        <w:rPr>
          <w:rFonts w:ascii="Times New Roman" w:hAnsi="Times New Roman" w:cs="Times New Roman"/>
          <w:b/>
          <w:color w:val="0000FF"/>
        </w:rPr>
        <w:t>(Incluído</w:t>
      </w:r>
      <w:r w:rsidR="00D824BC" w:rsidRPr="009C4153">
        <w:rPr>
          <w:rFonts w:ascii="Times New Roman" w:hAnsi="Times New Roman" w:cs="Times New Roman"/>
          <w:b/>
          <w:color w:val="0000FF"/>
        </w:rPr>
        <w:t xml:space="preserve"> pela Instrução Normativa nº 07, de 31 de outubro de 2013</w:t>
      </w:r>
      <w:proofErr w:type="gramStart"/>
      <w:r w:rsidR="00D824BC" w:rsidRPr="009C4153">
        <w:rPr>
          <w:rFonts w:ascii="Times New Roman" w:hAnsi="Times New Roman" w:cs="Times New Roman"/>
          <w:b/>
          <w:color w:val="0000FF"/>
        </w:rPr>
        <w:t>)</w:t>
      </w:r>
      <w:proofErr w:type="gramEnd"/>
    </w:p>
    <w:p w:rsidR="00EC6226" w:rsidRDefault="00EC6226" w:rsidP="00EC6226">
      <w:pPr>
        <w:pStyle w:val="PargrafodaLista"/>
        <w:divId w:val="331639225"/>
      </w:pPr>
    </w:p>
    <w:p w:rsidR="00725666" w:rsidRPr="0084524E" w:rsidRDefault="00725666" w:rsidP="0084524E">
      <w:pPr>
        <w:pStyle w:val="Default"/>
        <w:numPr>
          <w:ilvl w:val="0"/>
          <w:numId w:val="1"/>
        </w:numPr>
        <w:ind w:left="150" w:right="150"/>
        <w:jc w:val="both"/>
        <w:divId w:val="331639225"/>
        <w:rPr>
          <w:rFonts w:ascii="Times New Roman" w:hAnsi="Times New Roman" w:cs="Times New Roman"/>
        </w:rPr>
      </w:pPr>
      <w:r w:rsidRPr="0084524E">
        <w:rPr>
          <w:rFonts w:ascii="Times New Roman" w:hAnsi="Times New Roman" w:cs="Times New Roman"/>
        </w:rPr>
        <w:t>VI- Ministro de Estado da Saúde: Acima de R$ 10.000.</w:t>
      </w:r>
      <w:r w:rsidR="00D824BC" w:rsidRPr="0084524E">
        <w:rPr>
          <w:rFonts w:ascii="Times New Roman" w:hAnsi="Times New Roman" w:cs="Times New Roman"/>
        </w:rPr>
        <w:t>000,00 (dez milhões de reais);</w:t>
      </w:r>
      <w:r w:rsidRPr="0084524E">
        <w:rPr>
          <w:rFonts w:ascii="Times New Roman" w:hAnsi="Times New Roman" w:cs="Times New Roman"/>
        </w:rPr>
        <w:t xml:space="preserve"> </w:t>
      </w:r>
      <w:r w:rsidR="00E34233" w:rsidRPr="009C4153">
        <w:rPr>
          <w:rFonts w:ascii="Times New Roman" w:hAnsi="Times New Roman" w:cs="Times New Roman"/>
          <w:b/>
          <w:color w:val="0000FF"/>
        </w:rPr>
        <w:t>(Incluído</w:t>
      </w:r>
      <w:r w:rsidR="00D824BC" w:rsidRPr="009C4153">
        <w:rPr>
          <w:rFonts w:ascii="Times New Roman" w:hAnsi="Times New Roman" w:cs="Times New Roman"/>
          <w:b/>
          <w:color w:val="0000FF"/>
        </w:rPr>
        <w:t xml:space="preserve"> pela Instrução Normativa nº 07, de 31 de outubro de 2013</w:t>
      </w:r>
      <w:proofErr w:type="gramStart"/>
      <w:r w:rsidR="00D824BC" w:rsidRPr="009C4153">
        <w:rPr>
          <w:rFonts w:ascii="Times New Roman" w:hAnsi="Times New Roman" w:cs="Times New Roman"/>
          <w:b/>
          <w:color w:val="0000FF"/>
        </w:rPr>
        <w:t>)</w:t>
      </w:r>
      <w:proofErr w:type="gramEnd"/>
    </w:p>
    <w:p w:rsidR="00725666" w:rsidRPr="0084524E" w:rsidRDefault="00725666" w:rsidP="0084524E">
      <w:pPr>
        <w:pStyle w:val="Default"/>
        <w:jc w:val="both"/>
        <w:divId w:val="331639225"/>
        <w:rPr>
          <w:rFonts w:ascii="Times New Roman" w:hAnsi="Times New Roman" w:cs="Times New Roman"/>
        </w:rPr>
      </w:pPr>
    </w:p>
    <w:p w:rsidR="0001431D" w:rsidRPr="0084524E" w:rsidRDefault="00725666" w:rsidP="00EC6226">
      <w:pPr>
        <w:pStyle w:val="Default"/>
        <w:ind w:firstLine="705"/>
        <w:jc w:val="both"/>
        <w:divId w:val="331639225"/>
        <w:rPr>
          <w:rFonts w:ascii="Times New Roman" w:hAnsi="Times New Roman" w:cs="Times New Roman"/>
        </w:rPr>
      </w:pPr>
      <w:r w:rsidRPr="0084524E">
        <w:rPr>
          <w:rFonts w:ascii="Times New Roman" w:hAnsi="Times New Roman" w:cs="Times New Roman"/>
        </w:rPr>
        <w:t>Parágrafo Único: Na hipótese de contratação pela utilização de Ata de Registro de Preços, própria, como partícipe ou obtida por processo de adesão, cada contrato deverá ser precedida de autorização prévia, em consonância aos limites de alça</w:t>
      </w:r>
      <w:r w:rsidR="00E34233">
        <w:rPr>
          <w:rFonts w:ascii="Times New Roman" w:hAnsi="Times New Roman" w:cs="Times New Roman"/>
        </w:rPr>
        <w:t>das estabelecidos neste artigo.</w:t>
      </w:r>
      <w:r w:rsidRPr="0084524E">
        <w:rPr>
          <w:rFonts w:ascii="Times New Roman" w:hAnsi="Times New Roman" w:cs="Times New Roman"/>
        </w:rPr>
        <w:t xml:space="preserve"> </w:t>
      </w:r>
      <w:r w:rsidR="0001431D" w:rsidRPr="009C4153">
        <w:rPr>
          <w:rFonts w:ascii="Times New Roman" w:hAnsi="Times New Roman" w:cs="Times New Roman"/>
          <w:b/>
          <w:color w:val="0000FF"/>
        </w:rPr>
        <w:t>(</w:t>
      </w:r>
      <w:r w:rsidR="00D824BC" w:rsidRPr="009C4153">
        <w:rPr>
          <w:rFonts w:ascii="Times New Roman" w:hAnsi="Times New Roman" w:cs="Times New Roman"/>
          <w:b/>
          <w:color w:val="0000FF"/>
        </w:rPr>
        <w:t>Incluíd</w:t>
      </w:r>
      <w:r w:rsidR="00E34233" w:rsidRPr="009C4153">
        <w:rPr>
          <w:rFonts w:ascii="Times New Roman" w:hAnsi="Times New Roman" w:cs="Times New Roman"/>
          <w:b/>
          <w:color w:val="0000FF"/>
        </w:rPr>
        <w:t>o</w:t>
      </w:r>
      <w:r w:rsidR="0001431D" w:rsidRPr="009C4153">
        <w:rPr>
          <w:rFonts w:ascii="Times New Roman" w:hAnsi="Times New Roman" w:cs="Times New Roman"/>
          <w:b/>
          <w:color w:val="0000FF"/>
        </w:rPr>
        <w:t xml:space="preserve"> pela Instrução Normativa nº 07, de 31 de outubro de 2013</w:t>
      </w:r>
      <w:proofErr w:type="gramStart"/>
      <w:r w:rsidR="0001431D" w:rsidRPr="009C4153">
        <w:rPr>
          <w:rFonts w:ascii="Times New Roman" w:hAnsi="Times New Roman" w:cs="Times New Roman"/>
          <w:b/>
          <w:color w:val="0000FF"/>
        </w:rPr>
        <w:t>)</w:t>
      </w:r>
      <w:proofErr w:type="gramEnd"/>
    </w:p>
    <w:p w:rsidR="00BD2134" w:rsidRPr="003B1519" w:rsidRDefault="00BD2134" w:rsidP="007A2033">
      <w:pPr>
        <w:jc w:val="center"/>
        <w:divId w:val="331639225"/>
        <w:rPr>
          <w:b/>
        </w:rPr>
      </w:pPr>
      <w:r w:rsidRPr="003B1519">
        <w:rPr>
          <w:b/>
        </w:rPr>
        <w:t>DAS COMPETÊNCIAS NOS PROCESSOS LICITATÓRIOS</w:t>
      </w:r>
    </w:p>
    <w:p w:rsidR="00BD2134" w:rsidRPr="0084524E" w:rsidRDefault="00BD2134" w:rsidP="0084524E">
      <w:pPr>
        <w:ind w:firstLine="567"/>
        <w:jc w:val="both"/>
        <w:divId w:val="331639225"/>
        <w:rPr>
          <w:strike/>
        </w:rPr>
      </w:pPr>
      <w:r w:rsidRPr="0084524E">
        <w:rPr>
          <w:strike/>
        </w:rPr>
        <w:t xml:space="preserve"> Art. 4º Nos termos do art. 3º desta Instrução Normativa ficam estabelecidas as seguintes competências:</w:t>
      </w:r>
    </w:p>
    <w:p w:rsidR="00BD2134" w:rsidRPr="0084524E" w:rsidRDefault="00BD2134" w:rsidP="0084524E">
      <w:pPr>
        <w:ind w:firstLine="567"/>
        <w:jc w:val="both"/>
        <w:divId w:val="331639225"/>
        <w:rPr>
          <w:strike/>
        </w:rPr>
      </w:pPr>
      <w:r w:rsidRPr="0084524E">
        <w:rPr>
          <w:strike/>
        </w:rPr>
        <w:t>I- Autorizar a deflagração do processo de licitação:</w:t>
      </w:r>
    </w:p>
    <w:p w:rsidR="00BD2134" w:rsidRPr="0084524E" w:rsidRDefault="00BD2134" w:rsidP="0084524E">
      <w:pPr>
        <w:ind w:firstLine="567"/>
        <w:jc w:val="both"/>
        <w:divId w:val="331639225"/>
        <w:rPr>
          <w:strike/>
        </w:rPr>
      </w:pPr>
      <w:r w:rsidRPr="0084524E">
        <w:rPr>
          <w:strike/>
        </w:rPr>
        <w:t>a) Diretor Presidente;</w:t>
      </w:r>
    </w:p>
    <w:p w:rsidR="00BD2134" w:rsidRPr="0084524E" w:rsidRDefault="00BD2134" w:rsidP="0084524E">
      <w:pPr>
        <w:ind w:firstLine="567"/>
        <w:jc w:val="both"/>
        <w:divId w:val="331639225"/>
        <w:rPr>
          <w:strike/>
        </w:rPr>
      </w:pPr>
      <w:r w:rsidRPr="0084524E">
        <w:rPr>
          <w:strike/>
        </w:rPr>
        <w:lastRenderedPageBreak/>
        <w:t>b) Diretor Supervisor;</w:t>
      </w:r>
    </w:p>
    <w:p w:rsidR="00BD2134" w:rsidRPr="0084524E" w:rsidRDefault="00BD2134" w:rsidP="0084524E">
      <w:pPr>
        <w:ind w:firstLine="567"/>
        <w:jc w:val="both"/>
        <w:divId w:val="331639225"/>
        <w:rPr>
          <w:strike/>
        </w:rPr>
      </w:pPr>
      <w:r w:rsidRPr="0084524E">
        <w:rPr>
          <w:strike/>
        </w:rPr>
        <w:t>II- Autorizar a deflagração do processo de licitação até o limite previsto:</w:t>
      </w:r>
    </w:p>
    <w:p w:rsidR="00BD2134" w:rsidRPr="0084524E" w:rsidRDefault="00BD2134" w:rsidP="0084524E">
      <w:pPr>
        <w:ind w:firstLine="567"/>
        <w:jc w:val="both"/>
        <w:divId w:val="331639225"/>
        <w:rPr>
          <w:strike/>
        </w:rPr>
      </w:pPr>
      <w:r w:rsidRPr="0084524E">
        <w:rPr>
          <w:strike/>
        </w:rPr>
        <w:t>a) Gerente Geral de Gestão Administrativa e Financeira;</w:t>
      </w:r>
    </w:p>
    <w:p w:rsidR="00BD2134" w:rsidRPr="0084524E" w:rsidRDefault="00BD2134" w:rsidP="0084524E">
      <w:pPr>
        <w:ind w:firstLine="567"/>
        <w:jc w:val="both"/>
        <w:divId w:val="331639225"/>
        <w:rPr>
          <w:strike/>
        </w:rPr>
      </w:pPr>
      <w:r w:rsidRPr="0084524E">
        <w:rPr>
          <w:strike/>
        </w:rPr>
        <w:t>b) Gerente Geral de Portos, Aeroportos, Fronteiras, Recintos Alfandegados;</w:t>
      </w:r>
    </w:p>
    <w:p w:rsidR="00BD2134" w:rsidRPr="0084524E" w:rsidRDefault="00BD2134" w:rsidP="0084524E">
      <w:pPr>
        <w:ind w:firstLine="567"/>
        <w:jc w:val="both"/>
        <w:divId w:val="331639225"/>
        <w:rPr>
          <w:strike/>
        </w:rPr>
      </w:pPr>
      <w:r w:rsidRPr="0084524E">
        <w:rPr>
          <w:strike/>
        </w:rPr>
        <w:t>III- Do Diretor – Presidente, para homologar resultado de licitação, adjudicar seu objeto ao licitante vencedor e celebrar o respectivo contrato ou instrumento que o substitua nos casos de pregão, convite, tomada de preços e concorrência.</w:t>
      </w:r>
    </w:p>
    <w:p w:rsidR="00BD2134" w:rsidRPr="0084524E" w:rsidRDefault="00BD2134" w:rsidP="0084524E">
      <w:pPr>
        <w:ind w:firstLine="567"/>
        <w:jc w:val="both"/>
        <w:divId w:val="331639225"/>
        <w:rPr>
          <w:strike/>
        </w:rPr>
      </w:pPr>
      <w:r w:rsidRPr="0084524E">
        <w:rPr>
          <w:strike/>
        </w:rPr>
        <w:t>Parágrafo Único - A competência do Diretor - Presidente poderá ser delegada para o Gerente Geral de Gestão Administrativa e Financeira e para os Coordenadores de Vigilância Sanitária de Portos, Aeroportos, Fronteiras e Recintos Alfandegados nos Estados por intermédio de Portaria específica.</w:t>
      </w:r>
    </w:p>
    <w:p w:rsidR="004F460E" w:rsidRPr="0084524E" w:rsidRDefault="00725666" w:rsidP="0084524E">
      <w:pPr>
        <w:ind w:left="150" w:firstLine="558"/>
        <w:jc w:val="both"/>
        <w:divId w:val="331639225"/>
        <w:rPr>
          <w:color w:val="0000FF"/>
        </w:rPr>
      </w:pPr>
      <w:r w:rsidRPr="0084524E">
        <w:t>Art.</w:t>
      </w:r>
      <w:r w:rsidR="009A56C4">
        <w:t xml:space="preserve"> </w:t>
      </w:r>
      <w:r w:rsidRPr="0084524E">
        <w:t xml:space="preserve">4° Ficam estabelecidos os limites e alçadas para as contratações, prorrogações contratuais, patrocínios e alienações, constantes no Anexo I </w:t>
      </w:r>
      <w:r w:rsidR="00E34233">
        <w:t>desta Instrução Normativa.</w:t>
      </w:r>
      <w:r w:rsidRPr="0084524E">
        <w:t xml:space="preserve"> </w:t>
      </w:r>
      <w:r w:rsidR="004F460E" w:rsidRPr="009C4153">
        <w:rPr>
          <w:b/>
          <w:color w:val="0000FF"/>
        </w:rPr>
        <w:t>(Redação dada pela Instrução Normativa nº 07, de 31 de outubro de 2013</w:t>
      </w:r>
      <w:proofErr w:type="gramStart"/>
      <w:r w:rsidR="004F460E" w:rsidRPr="009C4153">
        <w:rPr>
          <w:b/>
          <w:color w:val="0000FF"/>
        </w:rPr>
        <w:t>)</w:t>
      </w:r>
      <w:proofErr w:type="gramEnd"/>
    </w:p>
    <w:p w:rsidR="00BD2134" w:rsidRDefault="00BD2134" w:rsidP="0084524E">
      <w:pPr>
        <w:ind w:firstLine="567"/>
        <w:jc w:val="both"/>
        <w:divId w:val="331639225"/>
      </w:pPr>
      <w:r w:rsidRPr="0084524E">
        <w:t xml:space="preserve">Art. 5º Incumbe ao Diretor-Presidente da ANVISA </w:t>
      </w:r>
      <w:proofErr w:type="gramStart"/>
      <w:r w:rsidRPr="0084524E">
        <w:t>as</w:t>
      </w:r>
      <w:proofErr w:type="gramEnd"/>
      <w:r w:rsidRPr="0084524E">
        <w:t xml:space="preserve"> atribuições constantes do art. 4º, inciso I, alínea “a” desta Instrução Normativa, quando a finalidade da contratação envolver unidades organizacionais vinculadas a Diretores Supervisores diferentes, quando o objeto visar suprir as necessidades de mais de uma unidade gestora da ANVISA, projetos básicos de obras de engenharia, aquisição de imóveis ou quando o processo de licitação exigir a modalidade de concorrência.</w:t>
      </w:r>
    </w:p>
    <w:p w:rsidR="00BD2134" w:rsidRPr="003B1519" w:rsidRDefault="00BD2134" w:rsidP="007A2033">
      <w:pPr>
        <w:jc w:val="center"/>
        <w:divId w:val="331639225"/>
        <w:rPr>
          <w:b/>
        </w:rPr>
      </w:pPr>
      <w:r w:rsidRPr="003B1519">
        <w:rPr>
          <w:b/>
        </w:rPr>
        <w:t>DA DISPENSA OU INEXIGIBILIDADE DE LICITAÇÃO</w:t>
      </w:r>
    </w:p>
    <w:p w:rsidR="00BD2134" w:rsidRPr="0084524E" w:rsidRDefault="00BD2134" w:rsidP="0084524E">
      <w:pPr>
        <w:ind w:firstLine="567"/>
        <w:jc w:val="both"/>
        <w:divId w:val="331639225"/>
        <w:rPr>
          <w:strike/>
        </w:rPr>
      </w:pPr>
      <w:r w:rsidRPr="0084524E">
        <w:rPr>
          <w:strike/>
        </w:rPr>
        <w:t>Art. 6º Nos casos de dispensa previstos no art. 24, incisos III a XXIV, da Lei n. 8.666/93 e de inexigibilidade de licitação, compete à autoridade demandante indicar ao Diretor Supervisor a razão de escolha de fornecedor e a justificativa de preço.</w:t>
      </w:r>
    </w:p>
    <w:p w:rsidR="00ED08EE" w:rsidRPr="0084524E" w:rsidRDefault="00ED08EE" w:rsidP="0084524E">
      <w:pPr>
        <w:ind w:left="150" w:firstLine="558"/>
        <w:jc w:val="both"/>
        <w:divId w:val="331639225"/>
        <w:rPr>
          <w:color w:val="0000FF"/>
        </w:rPr>
      </w:pPr>
      <w:r w:rsidRPr="0084524E">
        <w:t>Art.</w:t>
      </w:r>
      <w:r w:rsidR="00BC017B">
        <w:t xml:space="preserve"> </w:t>
      </w:r>
      <w:r w:rsidRPr="0084524E">
        <w:t>6° Nos casos de dispensa previstas no art. 24, incisos III a XXIV, da Lei nº. 8.666/93 e de inexigibilidade de licitação, compete à(s) autoridade(s) demandante(s), constantes no Anexo I desta Instrução Normativa indicar à autoridade competente a declará-la, a razão de escolha do fornece</w:t>
      </w:r>
      <w:r w:rsidR="00D926DE" w:rsidRPr="0084524E">
        <w:t>dor e a justificativa de preço.</w:t>
      </w:r>
      <w:r w:rsidRPr="0084524E">
        <w:t xml:space="preserve"> </w:t>
      </w:r>
      <w:r w:rsidRPr="009C4153">
        <w:rPr>
          <w:b/>
          <w:color w:val="0000FF"/>
        </w:rPr>
        <w:t>(Redação dada pela Instrução Normativa nº 07, de 31 de outubro de 2013</w:t>
      </w:r>
      <w:proofErr w:type="gramStart"/>
      <w:r w:rsidRPr="009C4153">
        <w:rPr>
          <w:b/>
          <w:color w:val="0000FF"/>
        </w:rPr>
        <w:t>)</w:t>
      </w:r>
      <w:proofErr w:type="gramEnd"/>
    </w:p>
    <w:p w:rsidR="00BD2134" w:rsidRPr="0084524E" w:rsidRDefault="00BD2134" w:rsidP="0084524E">
      <w:pPr>
        <w:ind w:firstLine="567"/>
        <w:jc w:val="both"/>
        <w:divId w:val="331639225"/>
      </w:pPr>
      <w:r w:rsidRPr="0084524E">
        <w:t xml:space="preserve">Art. 7º É atribuição do Gerente Geral de Gestão Administrativa e Financeira e dos Coordenadores de Vigilância Sanitária assinar o ato de reconhecimento da dispensa prevista no art. 24, incisos III a XXIV, da Lei n. 8666/93 e de inexigibilidade de licitação. </w:t>
      </w:r>
    </w:p>
    <w:p w:rsidR="00BD2134" w:rsidRPr="0084524E" w:rsidRDefault="00BD2134" w:rsidP="0084524E">
      <w:pPr>
        <w:ind w:firstLine="567"/>
        <w:jc w:val="both"/>
        <w:divId w:val="331639225"/>
        <w:rPr>
          <w:strike/>
        </w:rPr>
      </w:pPr>
      <w:r w:rsidRPr="0084524E">
        <w:rPr>
          <w:strike/>
        </w:rPr>
        <w:lastRenderedPageBreak/>
        <w:t>Art. 8º Ao Diretor Supervisor da unidade demandante incumbe ratificar o ato de reconhecimento da dispensa prevista no art. 24, incisos III a XXIV, da Lei n. 8666/93 e de inexigibilidade de licitação.</w:t>
      </w:r>
    </w:p>
    <w:p w:rsidR="00BD2134" w:rsidRPr="0084524E" w:rsidRDefault="00BD2134" w:rsidP="0084524E">
      <w:pPr>
        <w:ind w:firstLine="567"/>
        <w:jc w:val="both"/>
        <w:divId w:val="331639225"/>
        <w:rPr>
          <w:strike/>
        </w:rPr>
      </w:pPr>
      <w:r w:rsidRPr="0084524E">
        <w:rPr>
          <w:strike/>
        </w:rPr>
        <w:t>§ 1º Quando o objeto da contratação for de interesse de unidades organizacionais supervisionadas por mais de uma Diretoria, será de competência do Diretor-Presidente a ratificação do ato de reconhecimento.</w:t>
      </w:r>
    </w:p>
    <w:p w:rsidR="00BD2134" w:rsidRPr="0084524E" w:rsidRDefault="00BD2134" w:rsidP="0084524E">
      <w:pPr>
        <w:ind w:firstLine="567"/>
        <w:jc w:val="both"/>
        <w:divId w:val="331639225"/>
        <w:rPr>
          <w:strike/>
        </w:rPr>
      </w:pPr>
      <w:r w:rsidRPr="0084524E">
        <w:rPr>
          <w:strike/>
        </w:rPr>
        <w:t>§ 2º O ato administrativo do Gerente Geral de Gestão Administrativa e Financeira e dos Coordenadores de Vigilância Sanitária de Portos, Aeroportos, Fronteiras e Recintos Alfandegados que, nos limites de suas alçadas, declarem a dispensa e/ou a inexigibilidade de licitação, exceto quando se tratar de dispensa enquadrada no art. 24, incisos I e II, da Lei n. 8666/93, deve ser ratificado, no prazo de 03 (três) dias úteis, pelo Diretor Supervisor da unidade organizacional demandante.</w:t>
      </w:r>
    </w:p>
    <w:p w:rsidR="00D926DE" w:rsidRPr="0084524E" w:rsidRDefault="00124E55" w:rsidP="0084524E">
      <w:pPr>
        <w:pStyle w:val="Default"/>
        <w:ind w:firstLine="709"/>
        <w:jc w:val="both"/>
        <w:divId w:val="331639225"/>
        <w:rPr>
          <w:rFonts w:ascii="Times New Roman" w:eastAsiaTheme="minorEastAsia" w:hAnsi="Times New Roman" w:cs="Times New Roman"/>
          <w:color w:val="auto"/>
        </w:rPr>
      </w:pPr>
      <w:r w:rsidRPr="0084524E">
        <w:rPr>
          <w:rFonts w:ascii="Times New Roman" w:eastAsiaTheme="minorEastAsia" w:hAnsi="Times New Roman" w:cs="Times New Roman"/>
          <w:color w:val="auto"/>
        </w:rPr>
        <w:t>Art.</w:t>
      </w:r>
      <w:r w:rsidR="006E77D9">
        <w:rPr>
          <w:rFonts w:ascii="Times New Roman" w:eastAsiaTheme="minorEastAsia" w:hAnsi="Times New Roman" w:cs="Times New Roman"/>
          <w:color w:val="auto"/>
        </w:rPr>
        <w:t xml:space="preserve"> </w:t>
      </w:r>
      <w:r w:rsidRPr="0084524E">
        <w:rPr>
          <w:rFonts w:ascii="Times New Roman" w:eastAsiaTheme="minorEastAsia" w:hAnsi="Times New Roman" w:cs="Times New Roman"/>
          <w:color w:val="auto"/>
        </w:rPr>
        <w:t>8</w:t>
      </w:r>
      <w:r w:rsidR="00D926DE" w:rsidRPr="0084524E">
        <w:rPr>
          <w:rFonts w:ascii="Times New Roman" w:eastAsiaTheme="minorEastAsia" w:hAnsi="Times New Roman" w:cs="Times New Roman"/>
          <w:color w:val="auto"/>
        </w:rPr>
        <w:t>º</w:t>
      </w:r>
      <w:r w:rsidRPr="0084524E">
        <w:rPr>
          <w:rFonts w:ascii="Times New Roman" w:eastAsiaTheme="minorEastAsia" w:hAnsi="Times New Roman" w:cs="Times New Roman"/>
          <w:color w:val="auto"/>
        </w:rPr>
        <w:t xml:space="preserve"> Aos Diretores Presidente e de Gestão Institucional, nos limites de suas alçadas constantes no Anexo I desta Instrução Normativa, cabem ratificar o ato de reconhecimento da dispensa prevista no art.24, incisos III a XXIV, da Lei n. 8666/93 e de inexigibilidade de licitação. </w:t>
      </w:r>
      <w:r w:rsidR="00D926DE" w:rsidRPr="009C4153">
        <w:rPr>
          <w:rFonts w:ascii="Times New Roman" w:hAnsi="Times New Roman" w:cs="Times New Roman"/>
          <w:b/>
          <w:color w:val="0000FF"/>
        </w:rPr>
        <w:t>(Redação dada pela Instrução Normativa nº 07, de 31 de outubro de 2013</w:t>
      </w:r>
      <w:proofErr w:type="gramStart"/>
      <w:r w:rsidR="00D926DE" w:rsidRPr="009C4153">
        <w:rPr>
          <w:rFonts w:ascii="Times New Roman" w:hAnsi="Times New Roman" w:cs="Times New Roman"/>
          <w:b/>
          <w:color w:val="0000FF"/>
        </w:rPr>
        <w:t>)</w:t>
      </w:r>
      <w:proofErr w:type="gramEnd"/>
    </w:p>
    <w:p w:rsidR="00456CFA" w:rsidRPr="0084524E" w:rsidRDefault="00456CFA" w:rsidP="0084524E">
      <w:pPr>
        <w:pStyle w:val="Default"/>
        <w:ind w:firstLine="709"/>
        <w:jc w:val="both"/>
        <w:divId w:val="331639225"/>
        <w:rPr>
          <w:rFonts w:ascii="Times New Roman" w:eastAsiaTheme="minorEastAsia" w:hAnsi="Times New Roman" w:cs="Times New Roman"/>
          <w:color w:val="auto"/>
        </w:rPr>
      </w:pPr>
    </w:p>
    <w:p w:rsidR="00D926DE" w:rsidRPr="0084524E" w:rsidRDefault="00124E55" w:rsidP="0084524E">
      <w:pPr>
        <w:pStyle w:val="Default"/>
        <w:ind w:firstLine="709"/>
        <w:jc w:val="both"/>
        <w:divId w:val="331639225"/>
        <w:rPr>
          <w:rFonts w:ascii="Times New Roman" w:eastAsiaTheme="minorEastAsia" w:hAnsi="Times New Roman" w:cs="Times New Roman"/>
          <w:color w:val="auto"/>
        </w:rPr>
      </w:pPr>
      <w:r w:rsidRPr="0084524E">
        <w:rPr>
          <w:rFonts w:ascii="Times New Roman" w:eastAsiaTheme="minorEastAsia" w:hAnsi="Times New Roman" w:cs="Times New Roman"/>
          <w:color w:val="auto"/>
        </w:rPr>
        <w:t xml:space="preserve">§ 1° O ato Administrativo do Diretor de Gestão Institucional, do Gerente Geral de Gestão Administrativa e Financeira e do Gerente-Geral de Portos, Aeroportos, Fronteiras, e Recintos Alfandegários que, nos limites de suas alçadas constantes no Anexo I desta Instrução Normativa, declarem a dispensa e/ou a inexigibilidade de licitação, exceto quando se tratar de dispensa enquadrada no art. 24, incisos I e II, da Lei n. 8666/93, deve ser ratificado, no prazo de 03 (três) dias úteis, pelo Diretor-Presidente e pelo Diretor de Gestão Institucional, respectivamente. </w:t>
      </w:r>
      <w:r w:rsidR="00D926DE" w:rsidRPr="009C4153">
        <w:rPr>
          <w:rFonts w:ascii="Times New Roman" w:hAnsi="Times New Roman" w:cs="Times New Roman"/>
          <w:b/>
          <w:color w:val="0000FF"/>
        </w:rPr>
        <w:t>(Redação dada pela Instrução Normativa nº 07, de 31 de outubro de 2013</w:t>
      </w:r>
      <w:proofErr w:type="gramStart"/>
      <w:r w:rsidR="00D926DE" w:rsidRPr="009C4153">
        <w:rPr>
          <w:rFonts w:ascii="Times New Roman" w:hAnsi="Times New Roman" w:cs="Times New Roman"/>
          <w:b/>
          <w:color w:val="0000FF"/>
        </w:rPr>
        <w:t>)</w:t>
      </w:r>
      <w:proofErr w:type="gramEnd"/>
    </w:p>
    <w:p w:rsidR="00456CFA" w:rsidRPr="0084524E" w:rsidRDefault="00456CFA" w:rsidP="0084524E">
      <w:pPr>
        <w:pStyle w:val="Default"/>
        <w:ind w:firstLine="709"/>
        <w:jc w:val="both"/>
        <w:divId w:val="331639225"/>
        <w:rPr>
          <w:rFonts w:ascii="Times New Roman" w:eastAsiaTheme="minorEastAsia" w:hAnsi="Times New Roman" w:cs="Times New Roman"/>
          <w:color w:val="auto"/>
        </w:rPr>
      </w:pPr>
    </w:p>
    <w:p w:rsidR="00C5066C" w:rsidRPr="0084524E" w:rsidRDefault="00124E55" w:rsidP="0084524E">
      <w:pPr>
        <w:pStyle w:val="Default"/>
        <w:ind w:firstLine="709"/>
        <w:jc w:val="both"/>
        <w:divId w:val="331639225"/>
        <w:rPr>
          <w:rFonts w:ascii="Times New Roman" w:eastAsiaTheme="minorEastAsia" w:hAnsi="Times New Roman" w:cs="Times New Roman"/>
          <w:color w:val="auto"/>
        </w:rPr>
      </w:pPr>
      <w:r w:rsidRPr="0084524E">
        <w:rPr>
          <w:rFonts w:ascii="Times New Roman" w:eastAsiaTheme="minorEastAsia" w:hAnsi="Times New Roman" w:cs="Times New Roman"/>
          <w:color w:val="auto"/>
        </w:rPr>
        <w:t>§ 2° Quando se tratar de inexigibilidade ou de dispensa prevista no art.24, incisos III a XXIV da Lei n. 8666/93, cujos valores estejam enquadrados no limite disposto pelo art. 24, inciso II da referida Lei, o ato administrativo da declaração será de responsabilidade do Coordenador de Contratação Pública e dos Coordenadores de Vigilância Sanitária de Portos, Aeroportos, Fronteiras e Recintos Alfandegados, no âmbito das suas competências institucionais, e o ato de ratificar o reconhecimento da inexigibilidade ou dispensa caberá ao Gerente-Geral de Gestão Administrativa e Financeira e ao Gerente-Geral de Portos, Aeroportos, Fronteiras, e Recintos Alfandegários, respectivamente, como disposto no Anexo I d</w:t>
      </w:r>
      <w:r w:rsidR="00E34233">
        <w:rPr>
          <w:rFonts w:ascii="Times New Roman" w:eastAsiaTheme="minorEastAsia" w:hAnsi="Times New Roman" w:cs="Times New Roman"/>
          <w:color w:val="auto"/>
        </w:rPr>
        <w:t>esta Instrução Normativa.</w:t>
      </w:r>
      <w:r w:rsidR="00D926DE" w:rsidRPr="0084524E">
        <w:rPr>
          <w:rFonts w:ascii="Times New Roman" w:eastAsiaTheme="minorEastAsia" w:hAnsi="Times New Roman" w:cs="Times New Roman"/>
          <w:color w:val="auto"/>
        </w:rPr>
        <w:t xml:space="preserve"> </w:t>
      </w:r>
      <w:r w:rsidR="00C5066C" w:rsidRPr="009C4153">
        <w:rPr>
          <w:rFonts w:ascii="Times New Roman" w:hAnsi="Times New Roman" w:cs="Times New Roman"/>
          <w:b/>
          <w:color w:val="0000FF"/>
        </w:rPr>
        <w:t>(Redação dada pela Instrução Normativa nº 07, de 31 de outubro de 2013</w:t>
      </w:r>
      <w:proofErr w:type="gramStart"/>
      <w:r w:rsidR="00C5066C" w:rsidRPr="009C4153">
        <w:rPr>
          <w:rFonts w:ascii="Times New Roman" w:hAnsi="Times New Roman" w:cs="Times New Roman"/>
          <w:b/>
          <w:color w:val="0000FF"/>
        </w:rPr>
        <w:t>)</w:t>
      </w:r>
      <w:proofErr w:type="gramEnd"/>
    </w:p>
    <w:p w:rsidR="00BD2134" w:rsidRPr="003B1519" w:rsidRDefault="00BD2134" w:rsidP="003B1519">
      <w:pPr>
        <w:jc w:val="center"/>
        <w:divId w:val="331639225"/>
        <w:rPr>
          <w:b/>
        </w:rPr>
      </w:pPr>
      <w:r w:rsidRPr="003B1519">
        <w:rPr>
          <w:b/>
        </w:rPr>
        <w:t xml:space="preserve">DA COMPETÊNCIA DA GERÊNCIA GERAL DE GESTÃO ADMINISTRATIVA E FINANCEIRA E DA GERÊNCIA GERAL DE PORTOS, AEROPORTOS, FRONTEIRAS E RECINTOS ALFANDEGADOS NOS PROCESSOS DE CONTRATAÇÃO </w:t>
      </w:r>
      <w:proofErr w:type="gramStart"/>
      <w:r w:rsidRPr="003B1519">
        <w:rPr>
          <w:b/>
        </w:rPr>
        <w:t>PÚBLICA</w:t>
      </w:r>
      <w:proofErr w:type="gramEnd"/>
    </w:p>
    <w:p w:rsidR="00BD2134" w:rsidRPr="0084524E" w:rsidRDefault="00BD2134" w:rsidP="0084524E">
      <w:pPr>
        <w:ind w:firstLine="567"/>
        <w:jc w:val="both"/>
        <w:divId w:val="331639225"/>
      </w:pPr>
      <w:r w:rsidRPr="0084524E">
        <w:lastRenderedPageBreak/>
        <w:t>Art. 9° Cabe a Gerência Geral de Gestão Administrativa e Financeira - GGGAF e a Gerência Geral de Portos, Aeroportos, Fronteiras e Recintos Alfandegados – GGPAF, no âmbito de suas competências regimentais, instruir o processo de licitação com a justificativa para a situação prevista no art.5º desta Instrução Normativa.</w:t>
      </w:r>
    </w:p>
    <w:p w:rsidR="00BD2134" w:rsidRPr="0084524E" w:rsidRDefault="00BD2134" w:rsidP="0084524E">
      <w:pPr>
        <w:ind w:firstLine="567"/>
        <w:jc w:val="both"/>
        <w:divId w:val="331639225"/>
      </w:pPr>
      <w:r w:rsidRPr="0084524E">
        <w:t>Art. 10 Compete à GGGAF por intermédio da Coordenação de Contratação Pública – CCONP – instruir e dar prosseguimento aos processos de contratação de bens e serviços solicitados pelas unidades organizacionais, localizadas no Distrito Federal e alocadas na Unidade Gestora – UG da sede, previamente autorizados pelo detentor da alçada.</w:t>
      </w:r>
    </w:p>
    <w:p w:rsidR="00BD2134" w:rsidRPr="0084524E" w:rsidRDefault="00BD2134" w:rsidP="0084524E">
      <w:pPr>
        <w:ind w:firstLine="567"/>
        <w:jc w:val="both"/>
        <w:divId w:val="331639225"/>
      </w:pPr>
      <w:r w:rsidRPr="0084524E">
        <w:t xml:space="preserve">Art. 11 Compete à GGPAF por intermédio das Coordenações de Vigilância Sanitária de Portos, Aeroportos, Fronteiras e Recintos Alfandegados nos Estados – CVPAF/UF – instruir e dar prosseguimento aos processos de contratação de bens e serviços no âmbito de competência de cada Unidade Gestora- UG, previamente autorizados pelo detentor da alçada. </w:t>
      </w:r>
    </w:p>
    <w:p w:rsidR="00BD2134" w:rsidRPr="0084524E" w:rsidRDefault="00BD2134" w:rsidP="0084524E">
      <w:pPr>
        <w:ind w:firstLine="567"/>
        <w:jc w:val="both"/>
        <w:divId w:val="331639225"/>
      </w:pPr>
      <w:r w:rsidRPr="0084524E">
        <w:t>§1º Nos casos em que a solicitação for originária da GGPAF, a competência para instruir e dar prosseguimento será da GGGAF e deverá atender o determinado nos artigos 3º e 4º desta instrução normativa.</w:t>
      </w:r>
    </w:p>
    <w:p w:rsidR="00BD2134" w:rsidRPr="0084524E" w:rsidRDefault="00BD2134" w:rsidP="0084524E">
      <w:pPr>
        <w:ind w:firstLine="567"/>
        <w:jc w:val="both"/>
        <w:divId w:val="331639225"/>
      </w:pPr>
      <w:r w:rsidRPr="0084524E">
        <w:t>§2º A competência da Coordenação de Vigilância Sanitária de Portos, Aeroportos, Fronteiras e Recintos Alfandegados nos Estados - CVPAF/UF para realizar procedimento licitatório se restringirá ao âmbito de sua Unidade Gestora - UG, regulamentado em Portaria específica e nos termos desta Instrução Normativa.</w:t>
      </w:r>
    </w:p>
    <w:p w:rsidR="00BD2134" w:rsidRPr="0084524E" w:rsidRDefault="00BD2134" w:rsidP="0084524E">
      <w:pPr>
        <w:ind w:firstLine="567"/>
        <w:jc w:val="both"/>
        <w:divId w:val="331639225"/>
      </w:pPr>
      <w:r w:rsidRPr="0084524E">
        <w:t>§3º A ampliação da competência da CVPAF/UF para realizar procedimento licitatório que atenda a mais de uma Unidade Gestora deverá ser obtida mediante Portaria do Diretor - Presidente delegando poderes específicos e em caráter excepcional com vistas à contratação pretendida.</w:t>
      </w:r>
    </w:p>
    <w:p w:rsidR="00BD2134" w:rsidRPr="0084524E" w:rsidRDefault="00BD2134" w:rsidP="0084524E">
      <w:pPr>
        <w:ind w:firstLine="567"/>
        <w:jc w:val="both"/>
        <w:divId w:val="331639225"/>
      </w:pPr>
      <w:r w:rsidRPr="0084524E">
        <w:t xml:space="preserve">Art. </w:t>
      </w:r>
      <w:smartTag w:uri="urn:schemas-microsoft-com:office:smarttags" w:element="metricconverter">
        <w:smartTagPr>
          <w:attr w:name="ProductID" w:val="12 A"/>
        </w:smartTagPr>
        <w:r w:rsidRPr="0084524E">
          <w:t>12 A</w:t>
        </w:r>
      </w:smartTag>
      <w:r w:rsidRPr="0084524E">
        <w:t xml:space="preserve"> GGGAF e a GGPAF devem adotar mecanismos de controle para impedir a realização de licitações e contratações diretas, que possam caracterizar fracionamento de despesas, quando das licitações e contratações de bens ou serviço da mesma natureza, no âmbito das unidades gestoras sob sua gestão.</w:t>
      </w:r>
    </w:p>
    <w:p w:rsidR="00BD2134" w:rsidRPr="0084524E" w:rsidRDefault="00BD2134" w:rsidP="0084524E">
      <w:pPr>
        <w:ind w:firstLine="567"/>
        <w:jc w:val="both"/>
        <w:divId w:val="331639225"/>
      </w:pPr>
      <w:r w:rsidRPr="0084524E">
        <w:t xml:space="preserve">Art. </w:t>
      </w:r>
      <w:smartTag w:uri="urn:schemas-microsoft-com:office:smarttags" w:element="metricconverter">
        <w:smartTagPr>
          <w:attr w:name="ProductID" w:val="13 A"/>
        </w:smartTagPr>
        <w:r w:rsidRPr="0084524E">
          <w:t>13 A</w:t>
        </w:r>
      </w:smartTag>
      <w:r w:rsidRPr="0084524E">
        <w:t xml:space="preserve"> GGGAF e a GGPAF, no prazo de 60 (sessenta) dias, a contar da data da publicação desta Instrução Normativa, expedirá orientações sobre os procedimentos, em meio físico e eletrônico, referentes ao registro, autuação, instrução, encerramento e controle dos processos administrativos de licitações em todas as modalidades, dispensas e inexigibilidades de licitação.</w:t>
      </w:r>
    </w:p>
    <w:p w:rsidR="00BD2134" w:rsidRPr="0084524E" w:rsidRDefault="00BD2134" w:rsidP="0084524E">
      <w:pPr>
        <w:ind w:firstLine="567"/>
        <w:jc w:val="both"/>
        <w:divId w:val="331639225"/>
      </w:pPr>
      <w:r w:rsidRPr="0084524E">
        <w:t xml:space="preserve">Art. </w:t>
      </w:r>
      <w:smartTag w:uri="urn:schemas-microsoft-com:office:smarttags" w:element="metricconverter">
        <w:smartTagPr>
          <w:attr w:name="ProductID" w:val="14 A"/>
        </w:smartTagPr>
        <w:r w:rsidRPr="0084524E">
          <w:t>14 A</w:t>
        </w:r>
      </w:smartTag>
      <w:r w:rsidRPr="0084524E">
        <w:t xml:space="preserve"> GGGAF e a GGPAF deverão buscar mecanismos internos para incentivar a compra compartilhada de materiais para compor o almoxarifado de todas as unidades gestoras, assim como de mobiliários de uso comum.</w:t>
      </w:r>
    </w:p>
    <w:p w:rsidR="00BD2134" w:rsidRPr="0084524E" w:rsidRDefault="00BD2134" w:rsidP="0084524E">
      <w:pPr>
        <w:ind w:firstLine="567"/>
        <w:jc w:val="both"/>
        <w:divId w:val="331639225"/>
      </w:pPr>
      <w:r w:rsidRPr="0084524E">
        <w:lastRenderedPageBreak/>
        <w:t>Art. 15 Caberá a GGGAF e a GGPAF apresentar à Diretoria Colegiada, na primeira reunião de cada mês, relatório contendo todas as contratações realizadas no mês anterior pelas unidades gestoras de sua competência.</w:t>
      </w:r>
    </w:p>
    <w:p w:rsidR="00BD2134" w:rsidRPr="003B1519" w:rsidRDefault="00BD2134" w:rsidP="003B1519">
      <w:pPr>
        <w:jc w:val="center"/>
        <w:divId w:val="331639225"/>
        <w:rPr>
          <w:b/>
        </w:rPr>
      </w:pPr>
      <w:r w:rsidRPr="003B1519">
        <w:rPr>
          <w:b/>
        </w:rPr>
        <w:t>DA DISPONIBILIDADE ORÇAMENTÁRIA</w:t>
      </w:r>
    </w:p>
    <w:p w:rsidR="00BD2134" w:rsidRPr="0084524E" w:rsidRDefault="00BD2134" w:rsidP="0084524E">
      <w:pPr>
        <w:ind w:firstLine="567"/>
        <w:jc w:val="both"/>
        <w:divId w:val="331639225"/>
      </w:pPr>
      <w:r w:rsidRPr="0084524E">
        <w:t>Art. 16 Para eficácia do ato administrativo da autoridade demandante</w:t>
      </w:r>
      <w:proofErr w:type="gramStart"/>
      <w:r w:rsidRPr="0084524E">
        <w:t>, é</w:t>
      </w:r>
      <w:proofErr w:type="gramEnd"/>
      <w:r w:rsidRPr="0084524E">
        <w:t xml:space="preserve"> necessária a comprovação da disponibilidade orçamentária e financeira para suportar a despesa de que trata o objeto da licitação, dispensa ou inexigibilidade de licitação.</w:t>
      </w:r>
    </w:p>
    <w:p w:rsidR="00BD2134" w:rsidRPr="003B1519" w:rsidRDefault="00BD2134" w:rsidP="003B1519">
      <w:pPr>
        <w:jc w:val="center"/>
        <w:divId w:val="331639225"/>
        <w:rPr>
          <w:b/>
        </w:rPr>
      </w:pPr>
      <w:r w:rsidRPr="003B1519">
        <w:rPr>
          <w:b/>
        </w:rPr>
        <w:t>DAS DISPOSIÇÕES FINAIS</w:t>
      </w:r>
    </w:p>
    <w:p w:rsidR="00BD2134" w:rsidRPr="0084524E" w:rsidRDefault="00BD2134" w:rsidP="0084524E">
      <w:pPr>
        <w:ind w:firstLine="567"/>
        <w:jc w:val="both"/>
        <w:divId w:val="331639225"/>
        <w:rPr>
          <w:color w:val="FF6600"/>
        </w:rPr>
      </w:pPr>
      <w:r w:rsidRPr="0084524E">
        <w:t xml:space="preserve">Art. </w:t>
      </w:r>
      <w:smartTag w:uri="urn:schemas-microsoft-com:office:smarttags" w:element="metricconverter">
        <w:smartTagPr>
          <w:attr w:name="ProductID" w:val="17 A"/>
        </w:smartTagPr>
        <w:r w:rsidRPr="0084524E">
          <w:t>17 A</w:t>
        </w:r>
      </w:smartTag>
      <w:r w:rsidRPr="0084524E">
        <w:t xml:space="preserve"> PROCURADORIA responsável pela Unidade Gestora se manifestará nos processos de licitação, processos de dispensa de licitação, processos de inexigibilidade de licitação e ainda, nos processos de adesão a ata de registro de preços, nos termos do art. 38, inciso VI, da Lei n 8.666/93. </w:t>
      </w:r>
    </w:p>
    <w:p w:rsidR="00BD2134" w:rsidRPr="0084524E" w:rsidRDefault="00BD2134" w:rsidP="0084524E">
      <w:pPr>
        <w:ind w:firstLine="567"/>
        <w:jc w:val="both"/>
        <w:divId w:val="331639225"/>
      </w:pPr>
      <w:r w:rsidRPr="0084524E">
        <w:t xml:space="preserve">Art. </w:t>
      </w:r>
      <w:smartTag w:uri="urn:schemas-microsoft-com:office:smarttags" w:element="metricconverter">
        <w:smartTagPr>
          <w:attr w:name="ProductID" w:val="18 A"/>
        </w:smartTagPr>
        <w:r w:rsidRPr="0084524E">
          <w:t>18 A</w:t>
        </w:r>
      </w:smartTag>
      <w:r w:rsidRPr="0084524E">
        <w:t xml:space="preserve"> definição da demanda, especificações técnicas, a escolha pela modalidade de contratação e os aspectos relativos à conveniência e oportunidade pretendida são de exclusiva responsabilidade da unidade organizacional demandante e do autorizador da deflagração do procedimento licitatório.</w:t>
      </w:r>
    </w:p>
    <w:p w:rsidR="00BD2134" w:rsidRDefault="00BD2134" w:rsidP="0084524E">
      <w:pPr>
        <w:ind w:firstLine="567"/>
        <w:jc w:val="both"/>
        <w:divId w:val="331639225"/>
      </w:pPr>
      <w:r w:rsidRPr="0084524E">
        <w:t>Art. 19 Esta Instrução Normativa entra em vigor na data de sua publicação.</w:t>
      </w:r>
    </w:p>
    <w:p w:rsidR="00A53197" w:rsidRDefault="00BD2134" w:rsidP="00B66501">
      <w:pPr>
        <w:pStyle w:val="Ttulo2"/>
        <w:divId w:val="331639225"/>
        <w:rPr>
          <w:rFonts w:ascii="Times New Roman" w:hAnsi="Times New Roman" w:cs="Times New Roman"/>
          <w:b w:val="0"/>
          <w:bCs w:val="0"/>
          <w:color w:val="003366"/>
          <w:sz w:val="24"/>
          <w:szCs w:val="24"/>
        </w:rPr>
      </w:pPr>
      <w:r w:rsidRPr="003B1519">
        <w:rPr>
          <w:rFonts w:ascii="Times New Roman" w:hAnsi="Times New Roman" w:cs="Times New Roman"/>
          <w:b w:val="0"/>
          <w:sz w:val="24"/>
          <w:szCs w:val="24"/>
        </w:rPr>
        <w:t>DIRCEU RAPOSO DE MELLO</w:t>
      </w:r>
      <w:r w:rsidR="00A53197" w:rsidRPr="003B1519">
        <w:rPr>
          <w:rFonts w:ascii="Times New Roman" w:hAnsi="Times New Roman" w:cs="Times New Roman"/>
          <w:b w:val="0"/>
          <w:bCs w:val="0"/>
          <w:color w:val="003366"/>
          <w:sz w:val="24"/>
          <w:szCs w:val="24"/>
        </w:rPr>
        <w:t xml:space="preserve"> </w:t>
      </w:r>
    </w:p>
    <w:p w:rsidR="003B1519" w:rsidRPr="003B1519" w:rsidRDefault="003B1519" w:rsidP="00B66501">
      <w:pPr>
        <w:pStyle w:val="Ttulo2"/>
        <w:divId w:val="331639225"/>
        <w:rPr>
          <w:rFonts w:ascii="Times New Roman" w:hAnsi="Times New Roman" w:cs="Times New Roman"/>
          <w:b w:val="0"/>
          <w:bCs w:val="0"/>
          <w:color w:val="003366"/>
          <w:sz w:val="24"/>
          <w:szCs w:val="24"/>
        </w:rPr>
      </w:pPr>
    </w:p>
    <w:p w:rsidR="003B1519" w:rsidRDefault="003B1519">
      <w:pPr>
        <w:spacing w:before="0" w:beforeAutospacing="0" w:after="0" w:afterAutospacing="0"/>
        <w:rPr>
          <w:strike/>
        </w:rPr>
      </w:pPr>
      <w:r>
        <w:rPr>
          <w:strike/>
        </w:rPr>
        <w:br w:type="page"/>
      </w:r>
    </w:p>
    <w:p w:rsidR="00456CFA" w:rsidRDefault="00456CFA" w:rsidP="003B1519">
      <w:pPr>
        <w:jc w:val="center"/>
        <w:divId w:val="331639225"/>
        <w:rPr>
          <w:strike/>
        </w:rPr>
      </w:pPr>
      <w:r w:rsidRPr="0062219A">
        <w:rPr>
          <w:strike/>
        </w:rPr>
        <w:lastRenderedPageBreak/>
        <w:t xml:space="preserve">ANEXO I da INSTRUÇÃO NORMATIVA Nº 49/2013 </w:t>
      </w:r>
    </w:p>
    <w:p w:rsidR="0062219A" w:rsidRPr="003B1519" w:rsidRDefault="0062219A" w:rsidP="003B1519">
      <w:pPr>
        <w:jc w:val="center"/>
        <w:divId w:val="331639225"/>
        <w:rPr>
          <w:b/>
        </w:rPr>
      </w:pPr>
      <w:r w:rsidRPr="003B1519">
        <w:rPr>
          <w:b/>
        </w:rPr>
        <w:t>ANEXO I DA INSTRUÇÃO NORMATIVA N° 7/2013</w:t>
      </w:r>
    </w:p>
    <w:p w:rsidR="00CF7D08" w:rsidRPr="00B67BF3" w:rsidRDefault="00CF7D08" w:rsidP="003B1519">
      <w:pPr>
        <w:jc w:val="center"/>
        <w:divId w:val="331639225"/>
        <w:rPr>
          <w:rFonts w:eastAsia="Times New Roman"/>
          <w:b/>
          <w:color w:val="0000FF"/>
        </w:rPr>
      </w:pPr>
      <w:r w:rsidRPr="00B67BF3">
        <w:rPr>
          <w:rFonts w:eastAsia="Times New Roman"/>
          <w:b/>
          <w:color w:val="0000FF"/>
        </w:rPr>
        <w:t>(</w:t>
      </w:r>
      <w:r w:rsidR="0064503A">
        <w:rPr>
          <w:rFonts w:eastAsia="Times New Roman"/>
          <w:b/>
          <w:color w:val="0000FF"/>
        </w:rPr>
        <w:t xml:space="preserve">Incluído pela </w:t>
      </w:r>
      <w:r w:rsidR="00F4347F">
        <w:rPr>
          <w:rFonts w:eastAsia="Times New Roman"/>
          <w:b/>
          <w:color w:val="0000FF"/>
        </w:rPr>
        <w:t xml:space="preserve">Instrução Normativa nº 07, </w:t>
      </w:r>
      <w:r w:rsidR="0064503A">
        <w:rPr>
          <w:rFonts w:eastAsia="Times New Roman"/>
          <w:b/>
          <w:color w:val="0000FF"/>
        </w:rPr>
        <w:t xml:space="preserve">de 31 de outubro de 2013, </w:t>
      </w:r>
      <w:r w:rsidR="005B31BB">
        <w:rPr>
          <w:rFonts w:eastAsia="Times New Roman"/>
          <w:b/>
          <w:color w:val="0000FF"/>
        </w:rPr>
        <w:t>r</w:t>
      </w:r>
      <w:r w:rsidRPr="00B67BF3">
        <w:rPr>
          <w:rFonts w:eastAsia="Times New Roman"/>
          <w:b/>
          <w:color w:val="0000FF"/>
        </w:rPr>
        <w:t xml:space="preserve">etificada em DOU nº 214, de </w:t>
      </w:r>
      <w:r w:rsidR="00B67BF3" w:rsidRPr="00B67BF3">
        <w:rPr>
          <w:rFonts w:eastAsia="Times New Roman"/>
          <w:b/>
          <w:color w:val="0000FF"/>
        </w:rPr>
        <w:t>04 de novembro de 2013</w:t>
      </w:r>
      <w:proofErr w:type="gramStart"/>
      <w:r w:rsidR="00B67BF3" w:rsidRPr="00B67BF3">
        <w:rPr>
          <w:rFonts w:eastAsia="Times New Roman"/>
          <w:b/>
          <w:color w:val="0000FF"/>
        </w:rPr>
        <w:t>)</w:t>
      </w:r>
      <w:proofErr w:type="gramEnd"/>
    </w:p>
    <w:tbl>
      <w:tblPr>
        <w:tblW w:w="20187" w:type="dxa"/>
        <w:jc w:val="center"/>
        <w:tblLayout w:type="fixed"/>
        <w:tblCellMar>
          <w:left w:w="70" w:type="dxa"/>
          <w:right w:w="70" w:type="dxa"/>
        </w:tblCellMar>
        <w:tblLook w:val="04A0" w:firstRow="1" w:lastRow="0" w:firstColumn="1" w:lastColumn="0" w:noHBand="0" w:noVBand="1"/>
      </w:tblPr>
      <w:tblGrid>
        <w:gridCol w:w="20013"/>
        <w:gridCol w:w="174"/>
      </w:tblGrid>
      <w:tr w:rsidR="00456CFA" w:rsidRPr="002973D7" w:rsidTr="00D926DE">
        <w:trPr>
          <w:divId w:val="331639225"/>
          <w:trHeight w:val="20"/>
          <w:jc w:val="center"/>
        </w:trPr>
        <w:tc>
          <w:tcPr>
            <w:tcW w:w="4957" w:type="pct"/>
            <w:tcBorders>
              <w:left w:val="nil"/>
              <w:right w:val="nil"/>
            </w:tcBorders>
            <w:noWrap/>
            <w:vAlign w:val="bottom"/>
          </w:tcPr>
          <w:p w:rsidR="00456CFA" w:rsidRDefault="00456CFA" w:rsidP="00D926DE">
            <w:pPr>
              <w:spacing w:before="150" w:beforeAutospacing="0" w:after="300" w:afterAutospacing="0"/>
              <w:ind w:left="150" w:right="150"/>
              <w:jc w:val="center"/>
              <w:divId w:val="331639225"/>
              <w:rPr>
                <w:rFonts w:ascii="Arial" w:hAnsi="Arial" w:cs="Arial"/>
                <w:sz w:val="20"/>
                <w:szCs w:val="20"/>
              </w:rPr>
            </w:pPr>
            <w:r w:rsidRPr="00D926DE">
              <w:t>(Limites e Alçadas para Compras e Contratações com Fornecedores)</w:t>
            </w:r>
          </w:p>
          <w:tbl>
            <w:tblPr>
              <w:tblW w:w="10069" w:type="dxa"/>
              <w:jc w:val="center"/>
              <w:tblInd w:w="3788" w:type="dxa"/>
              <w:tblLayout w:type="fixed"/>
              <w:tblCellMar>
                <w:left w:w="70" w:type="dxa"/>
                <w:right w:w="70" w:type="dxa"/>
              </w:tblCellMar>
              <w:tblLook w:val="04A0" w:firstRow="1" w:lastRow="0" w:firstColumn="1" w:lastColumn="0" w:noHBand="0" w:noVBand="1"/>
            </w:tblPr>
            <w:tblGrid>
              <w:gridCol w:w="1149"/>
              <w:gridCol w:w="996"/>
              <w:gridCol w:w="1134"/>
              <w:gridCol w:w="1134"/>
              <w:gridCol w:w="1277"/>
              <w:gridCol w:w="1134"/>
              <w:gridCol w:w="836"/>
              <w:gridCol w:w="173"/>
              <w:gridCol w:w="125"/>
              <w:gridCol w:w="143"/>
              <w:gridCol w:w="850"/>
              <w:gridCol w:w="141"/>
              <w:gridCol w:w="977"/>
            </w:tblGrid>
            <w:tr w:rsidR="002D4040" w:rsidRPr="002E1A0A" w:rsidTr="00673936">
              <w:trPr>
                <w:divId w:val="331639225"/>
                <w:trHeight w:val="20"/>
                <w:jc w:val="center"/>
              </w:trPr>
              <w:tc>
                <w:tcPr>
                  <w:tcW w:w="571" w:type="pct"/>
                  <w:tcBorders>
                    <w:top w:val="double" w:sz="6" w:space="0" w:color="auto"/>
                    <w:left w:val="nil"/>
                    <w:right w:val="single" w:sz="4" w:space="0" w:color="auto"/>
                  </w:tcBorders>
                  <w:noWrap/>
                  <w:vAlign w:val="center"/>
                  <w:hideMark/>
                </w:tcPr>
                <w:p w:rsidR="00D926DE" w:rsidRPr="002E1A0A" w:rsidRDefault="00D926DE" w:rsidP="0084524E">
                  <w:pPr>
                    <w:jc w:val="center"/>
                    <w:rPr>
                      <w:rFonts w:ascii="Arial" w:hAnsi="Arial" w:cs="Arial"/>
                      <w:b/>
                      <w:bCs/>
                      <w:color w:val="000000"/>
                      <w:sz w:val="15"/>
                      <w:szCs w:val="15"/>
                    </w:rPr>
                  </w:pPr>
                  <w:r w:rsidRPr="002E1A0A">
                    <w:rPr>
                      <w:rFonts w:ascii="Arial" w:hAnsi="Arial" w:cs="Arial"/>
                      <w:b/>
                      <w:bCs/>
                      <w:color w:val="000000"/>
                      <w:sz w:val="15"/>
                      <w:szCs w:val="15"/>
                    </w:rPr>
                    <w:t xml:space="preserve">Limites </w:t>
                  </w:r>
                </w:p>
                <w:p w:rsidR="00D926DE" w:rsidRPr="002E1A0A" w:rsidRDefault="00D926DE" w:rsidP="0084524E">
                  <w:pPr>
                    <w:jc w:val="center"/>
                    <w:rPr>
                      <w:rFonts w:ascii="Arial" w:hAnsi="Arial" w:cs="Arial"/>
                      <w:b/>
                      <w:bCs/>
                      <w:color w:val="000000"/>
                      <w:sz w:val="15"/>
                      <w:szCs w:val="15"/>
                    </w:rPr>
                  </w:pPr>
                  <w:r w:rsidRPr="002E1A0A">
                    <w:rPr>
                      <w:rFonts w:ascii="Arial" w:hAnsi="Arial" w:cs="Arial"/>
                      <w:b/>
                      <w:bCs/>
                      <w:color w:val="000000"/>
                      <w:sz w:val="15"/>
                      <w:szCs w:val="15"/>
                    </w:rPr>
                    <w:t>(em R$ 1,00)</w:t>
                  </w:r>
                </w:p>
              </w:tc>
              <w:tc>
                <w:tcPr>
                  <w:tcW w:w="495" w:type="pct"/>
                  <w:tcBorders>
                    <w:top w:val="double" w:sz="6" w:space="0" w:color="auto"/>
                    <w:left w:val="single" w:sz="4" w:space="0" w:color="auto"/>
                    <w:bottom w:val="nil"/>
                    <w:right w:val="single" w:sz="4" w:space="0" w:color="auto"/>
                  </w:tcBorders>
                  <w:noWrap/>
                  <w:vAlign w:val="center"/>
                  <w:hideMark/>
                </w:tcPr>
                <w:p w:rsidR="00D926DE" w:rsidRPr="002E1A0A" w:rsidRDefault="00D926DE" w:rsidP="001E1914">
                  <w:pPr>
                    <w:jc w:val="center"/>
                    <w:rPr>
                      <w:rFonts w:ascii="Arial" w:hAnsi="Arial" w:cs="Arial"/>
                      <w:b/>
                      <w:bCs/>
                      <w:color w:val="000000"/>
                      <w:sz w:val="15"/>
                      <w:szCs w:val="15"/>
                    </w:rPr>
                  </w:pPr>
                  <w:r w:rsidRPr="002E1A0A">
                    <w:rPr>
                      <w:rFonts w:ascii="Arial" w:hAnsi="Arial" w:cs="Arial"/>
                      <w:b/>
                      <w:bCs/>
                      <w:color w:val="000000"/>
                      <w:sz w:val="15"/>
                      <w:szCs w:val="15"/>
                    </w:rPr>
                    <w:t>Aprovação motivada</w:t>
                  </w:r>
                  <w:r w:rsidR="001E1914" w:rsidRPr="002E1A0A">
                    <w:rPr>
                      <w:rFonts w:ascii="Arial" w:hAnsi="Arial" w:cs="Arial"/>
                      <w:b/>
                      <w:bCs/>
                      <w:color w:val="000000"/>
                      <w:sz w:val="15"/>
                      <w:szCs w:val="15"/>
                    </w:rPr>
                    <w:t xml:space="preserve"> </w:t>
                  </w:r>
                  <w:r w:rsidRPr="002E1A0A">
                    <w:rPr>
                      <w:rFonts w:ascii="Arial" w:hAnsi="Arial" w:cs="Arial"/>
                      <w:b/>
                      <w:bCs/>
                      <w:color w:val="000000"/>
                      <w:sz w:val="15"/>
                      <w:szCs w:val="15"/>
                    </w:rPr>
                    <w:t>do termo de referência</w:t>
                  </w:r>
                </w:p>
              </w:tc>
              <w:tc>
                <w:tcPr>
                  <w:tcW w:w="563" w:type="pct"/>
                  <w:vMerge w:val="restart"/>
                  <w:tcBorders>
                    <w:top w:val="double" w:sz="6" w:space="0" w:color="auto"/>
                    <w:left w:val="single" w:sz="4" w:space="0" w:color="auto"/>
                    <w:bottom w:val="nil"/>
                    <w:right w:val="single" w:sz="4" w:space="0" w:color="auto"/>
                  </w:tcBorders>
                  <w:vAlign w:val="center"/>
                  <w:hideMark/>
                </w:tcPr>
                <w:p w:rsidR="00D926DE" w:rsidRPr="002E1A0A" w:rsidRDefault="00D926DE" w:rsidP="0084524E">
                  <w:pPr>
                    <w:jc w:val="center"/>
                    <w:rPr>
                      <w:rFonts w:ascii="Arial" w:hAnsi="Arial" w:cs="Arial"/>
                      <w:b/>
                      <w:bCs/>
                      <w:color w:val="000000"/>
                      <w:sz w:val="15"/>
                      <w:szCs w:val="15"/>
                    </w:rPr>
                  </w:pPr>
                  <w:r w:rsidRPr="002E1A0A">
                    <w:rPr>
                      <w:rFonts w:ascii="Arial" w:hAnsi="Arial" w:cs="Arial"/>
                      <w:b/>
                      <w:bCs/>
                      <w:color w:val="000000"/>
                      <w:sz w:val="15"/>
                      <w:szCs w:val="15"/>
                    </w:rPr>
                    <w:t>Autorização para deflagração da licitação e contratação</w:t>
                  </w:r>
                </w:p>
              </w:tc>
              <w:tc>
                <w:tcPr>
                  <w:tcW w:w="563" w:type="pct"/>
                  <w:vMerge w:val="restart"/>
                  <w:tcBorders>
                    <w:top w:val="double" w:sz="6" w:space="0" w:color="auto"/>
                    <w:left w:val="single" w:sz="4" w:space="0" w:color="auto"/>
                    <w:right w:val="single" w:sz="4" w:space="0" w:color="auto"/>
                  </w:tcBorders>
                  <w:vAlign w:val="center"/>
                  <w:hideMark/>
                </w:tcPr>
                <w:p w:rsidR="00D926DE" w:rsidRPr="002E1A0A" w:rsidRDefault="00D926DE" w:rsidP="0084524E">
                  <w:pPr>
                    <w:jc w:val="center"/>
                    <w:rPr>
                      <w:rFonts w:ascii="Arial" w:hAnsi="Arial" w:cs="Arial"/>
                      <w:b/>
                      <w:bCs/>
                      <w:color w:val="000000"/>
                      <w:sz w:val="15"/>
                      <w:szCs w:val="15"/>
                    </w:rPr>
                  </w:pPr>
                  <w:r w:rsidRPr="002E1A0A">
                    <w:rPr>
                      <w:rFonts w:ascii="Arial" w:hAnsi="Arial" w:cs="Arial"/>
                      <w:b/>
                      <w:bCs/>
                      <w:color w:val="000000"/>
                      <w:sz w:val="15"/>
                      <w:szCs w:val="15"/>
                    </w:rPr>
                    <w:t>Autorização para prorrogação contratual</w:t>
                  </w:r>
                </w:p>
              </w:tc>
              <w:tc>
                <w:tcPr>
                  <w:tcW w:w="634" w:type="pct"/>
                  <w:vMerge w:val="restart"/>
                  <w:tcBorders>
                    <w:top w:val="double" w:sz="6" w:space="0" w:color="auto"/>
                    <w:left w:val="single" w:sz="4" w:space="0" w:color="auto"/>
                    <w:right w:val="single" w:sz="4" w:space="0" w:color="auto"/>
                  </w:tcBorders>
                  <w:noWrap/>
                  <w:vAlign w:val="center"/>
                  <w:hideMark/>
                </w:tcPr>
                <w:p w:rsidR="00D926DE" w:rsidRPr="002E1A0A" w:rsidRDefault="00D926DE" w:rsidP="0084524E">
                  <w:pPr>
                    <w:jc w:val="center"/>
                    <w:rPr>
                      <w:rFonts w:ascii="Arial" w:hAnsi="Arial" w:cs="Arial"/>
                      <w:b/>
                      <w:bCs/>
                      <w:color w:val="000000"/>
                      <w:sz w:val="15"/>
                      <w:szCs w:val="15"/>
                    </w:rPr>
                  </w:pPr>
                  <w:r w:rsidRPr="002E1A0A">
                    <w:rPr>
                      <w:rFonts w:ascii="Arial" w:hAnsi="Arial" w:cs="Arial"/>
                      <w:b/>
                      <w:bCs/>
                      <w:color w:val="000000"/>
                      <w:sz w:val="15"/>
                      <w:szCs w:val="15"/>
                    </w:rPr>
                    <w:t>Homologação</w:t>
                  </w:r>
                </w:p>
              </w:tc>
              <w:tc>
                <w:tcPr>
                  <w:tcW w:w="563" w:type="pct"/>
                  <w:vMerge w:val="restart"/>
                  <w:tcBorders>
                    <w:top w:val="double" w:sz="6" w:space="0" w:color="auto"/>
                    <w:left w:val="single" w:sz="4" w:space="0" w:color="auto"/>
                    <w:bottom w:val="single" w:sz="4" w:space="0" w:color="auto"/>
                    <w:right w:val="single" w:sz="4" w:space="0" w:color="auto"/>
                  </w:tcBorders>
                  <w:vAlign w:val="center"/>
                  <w:hideMark/>
                </w:tcPr>
                <w:p w:rsidR="00D926DE" w:rsidRPr="002E1A0A" w:rsidRDefault="00D926DE" w:rsidP="001E1914">
                  <w:pPr>
                    <w:jc w:val="center"/>
                    <w:rPr>
                      <w:rFonts w:ascii="Arial" w:hAnsi="Arial" w:cs="Arial"/>
                      <w:b/>
                      <w:bCs/>
                      <w:color w:val="000000"/>
                      <w:sz w:val="15"/>
                      <w:szCs w:val="15"/>
                    </w:rPr>
                  </w:pPr>
                  <w:proofErr w:type="spellStart"/>
                  <w:r w:rsidRPr="002E1A0A">
                    <w:rPr>
                      <w:rFonts w:ascii="Arial" w:hAnsi="Arial" w:cs="Arial"/>
                      <w:b/>
                      <w:bCs/>
                      <w:color w:val="000000"/>
                      <w:sz w:val="15"/>
                      <w:szCs w:val="15"/>
                    </w:rPr>
                    <w:t>Decla</w:t>
                  </w:r>
                  <w:bookmarkStart w:id="0" w:name="_GoBack"/>
                  <w:bookmarkEnd w:id="0"/>
                  <w:r w:rsidRPr="002E1A0A">
                    <w:rPr>
                      <w:rFonts w:ascii="Arial" w:hAnsi="Arial" w:cs="Arial"/>
                      <w:b/>
                      <w:bCs/>
                      <w:color w:val="000000"/>
                      <w:sz w:val="15"/>
                      <w:szCs w:val="15"/>
                    </w:rPr>
                    <w:t>ção</w:t>
                  </w:r>
                  <w:proofErr w:type="spellEnd"/>
                  <w:r w:rsidRPr="002E1A0A">
                    <w:rPr>
                      <w:rFonts w:ascii="Arial" w:hAnsi="Arial" w:cs="Arial"/>
                      <w:b/>
                      <w:bCs/>
                      <w:color w:val="000000"/>
                      <w:sz w:val="15"/>
                      <w:szCs w:val="15"/>
                    </w:rPr>
                    <w:t xml:space="preserve"> de </w:t>
                  </w:r>
                  <w:proofErr w:type="spellStart"/>
                  <w:r w:rsidRPr="002E1A0A">
                    <w:rPr>
                      <w:rFonts w:ascii="Arial" w:hAnsi="Arial" w:cs="Arial"/>
                      <w:b/>
                      <w:bCs/>
                      <w:color w:val="000000"/>
                      <w:sz w:val="15"/>
                      <w:szCs w:val="15"/>
                    </w:rPr>
                    <w:t>inexibilidade</w:t>
                  </w:r>
                  <w:proofErr w:type="spellEnd"/>
                  <w:r w:rsidRPr="002E1A0A">
                    <w:rPr>
                      <w:rFonts w:ascii="Arial" w:hAnsi="Arial" w:cs="Arial"/>
                      <w:b/>
                      <w:bCs/>
                      <w:color w:val="000000"/>
                      <w:sz w:val="15"/>
                      <w:szCs w:val="15"/>
                    </w:rPr>
                    <w:t xml:space="preserve"> e dispensas (art. 24, incisos iii a xxiv</w:t>
                  </w:r>
                  <w:proofErr w:type="gramStart"/>
                  <w:r w:rsidRPr="002E1A0A">
                    <w:rPr>
                      <w:rFonts w:ascii="Arial" w:hAnsi="Arial" w:cs="Arial"/>
                      <w:b/>
                      <w:bCs/>
                      <w:color w:val="000000"/>
                      <w:sz w:val="15"/>
                      <w:szCs w:val="15"/>
                    </w:rPr>
                    <w:t>)</w:t>
                  </w:r>
                  <w:proofErr w:type="gramEnd"/>
                </w:p>
              </w:tc>
              <w:tc>
                <w:tcPr>
                  <w:tcW w:w="563" w:type="pct"/>
                  <w:gridSpan w:val="3"/>
                  <w:vMerge w:val="restart"/>
                  <w:tcBorders>
                    <w:top w:val="double" w:sz="6" w:space="0" w:color="auto"/>
                    <w:left w:val="single" w:sz="4" w:space="0" w:color="auto"/>
                    <w:right w:val="single" w:sz="4" w:space="0" w:color="auto"/>
                  </w:tcBorders>
                  <w:vAlign w:val="center"/>
                  <w:hideMark/>
                </w:tcPr>
                <w:p w:rsidR="00D926DE" w:rsidRPr="002E1A0A" w:rsidRDefault="00D926DE" w:rsidP="0084524E">
                  <w:pPr>
                    <w:jc w:val="center"/>
                    <w:rPr>
                      <w:rFonts w:ascii="Arial" w:hAnsi="Arial" w:cs="Arial"/>
                      <w:b/>
                      <w:bCs/>
                      <w:color w:val="000000"/>
                      <w:sz w:val="15"/>
                      <w:szCs w:val="15"/>
                    </w:rPr>
                  </w:pPr>
                  <w:r w:rsidRPr="002E1A0A">
                    <w:rPr>
                      <w:rFonts w:ascii="Arial" w:hAnsi="Arial" w:cs="Arial"/>
                      <w:b/>
                      <w:bCs/>
                      <w:color w:val="000000"/>
                      <w:sz w:val="15"/>
                      <w:szCs w:val="15"/>
                    </w:rPr>
                    <w:t>Ratificação (1)</w:t>
                  </w:r>
                </w:p>
              </w:tc>
              <w:tc>
                <w:tcPr>
                  <w:tcW w:w="493" w:type="pct"/>
                  <w:gridSpan w:val="2"/>
                  <w:vMerge w:val="restart"/>
                  <w:tcBorders>
                    <w:top w:val="double" w:sz="6" w:space="0" w:color="auto"/>
                    <w:left w:val="single" w:sz="4" w:space="0" w:color="auto"/>
                    <w:right w:val="single" w:sz="4" w:space="0" w:color="auto"/>
                  </w:tcBorders>
                  <w:vAlign w:val="center"/>
                  <w:hideMark/>
                </w:tcPr>
                <w:p w:rsidR="00D926DE" w:rsidRPr="002E1A0A" w:rsidRDefault="00D926DE" w:rsidP="0084524E">
                  <w:pPr>
                    <w:jc w:val="center"/>
                    <w:rPr>
                      <w:rFonts w:ascii="Arial" w:hAnsi="Arial" w:cs="Arial"/>
                      <w:b/>
                      <w:bCs/>
                      <w:color w:val="000000"/>
                      <w:sz w:val="15"/>
                      <w:szCs w:val="15"/>
                    </w:rPr>
                  </w:pPr>
                  <w:r w:rsidRPr="002E1A0A">
                    <w:rPr>
                      <w:rFonts w:ascii="Arial" w:hAnsi="Arial" w:cs="Arial"/>
                      <w:b/>
                      <w:bCs/>
                      <w:color w:val="000000"/>
                      <w:sz w:val="15"/>
                      <w:szCs w:val="15"/>
                    </w:rPr>
                    <w:t>Assinatura do termo contratual</w:t>
                  </w:r>
                </w:p>
              </w:tc>
              <w:tc>
                <w:tcPr>
                  <w:tcW w:w="555" w:type="pct"/>
                  <w:gridSpan w:val="2"/>
                  <w:vMerge w:val="restart"/>
                  <w:tcBorders>
                    <w:top w:val="double" w:sz="6" w:space="0" w:color="auto"/>
                    <w:left w:val="single" w:sz="4" w:space="0" w:color="auto"/>
                    <w:right w:val="nil"/>
                  </w:tcBorders>
                  <w:vAlign w:val="center"/>
                  <w:hideMark/>
                </w:tcPr>
                <w:p w:rsidR="00D926DE" w:rsidRPr="002E1A0A" w:rsidRDefault="00D926DE" w:rsidP="00F5330F">
                  <w:pPr>
                    <w:ind w:left="-15" w:firstLine="15"/>
                    <w:jc w:val="center"/>
                    <w:rPr>
                      <w:rFonts w:ascii="Arial" w:hAnsi="Arial" w:cs="Arial"/>
                      <w:b/>
                      <w:bCs/>
                      <w:color w:val="000000"/>
                      <w:sz w:val="15"/>
                      <w:szCs w:val="15"/>
                    </w:rPr>
                  </w:pPr>
                  <w:r w:rsidRPr="002E1A0A">
                    <w:rPr>
                      <w:rFonts w:ascii="Arial" w:hAnsi="Arial" w:cs="Arial"/>
                      <w:b/>
                      <w:bCs/>
                      <w:color w:val="000000"/>
                      <w:sz w:val="15"/>
                      <w:szCs w:val="15"/>
                    </w:rPr>
                    <w:t>Referencia</w:t>
                  </w:r>
                  <w:r w:rsidR="001E1914" w:rsidRPr="002E1A0A">
                    <w:rPr>
                      <w:rFonts w:ascii="Arial" w:hAnsi="Arial" w:cs="Arial"/>
                      <w:b/>
                      <w:bCs/>
                      <w:color w:val="000000"/>
                      <w:sz w:val="15"/>
                      <w:szCs w:val="15"/>
                    </w:rPr>
                    <w:t xml:space="preserve"> </w:t>
                  </w:r>
                  <w:r w:rsidRPr="002E1A0A">
                    <w:rPr>
                      <w:rFonts w:ascii="Arial" w:hAnsi="Arial" w:cs="Arial"/>
                      <w:b/>
                      <w:bCs/>
                      <w:color w:val="000000"/>
                      <w:sz w:val="15"/>
                      <w:szCs w:val="15"/>
                    </w:rPr>
                    <w:t>l dos valores convencionados</w:t>
                  </w:r>
                </w:p>
              </w:tc>
            </w:tr>
            <w:tr w:rsidR="002D4040" w:rsidRPr="002E1A0A" w:rsidTr="00673936">
              <w:trPr>
                <w:divId w:val="331639225"/>
                <w:trHeight w:val="20"/>
                <w:jc w:val="center"/>
              </w:trPr>
              <w:tc>
                <w:tcPr>
                  <w:tcW w:w="571" w:type="pct"/>
                  <w:tcBorders>
                    <w:left w:val="nil"/>
                    <w:bottom w:val="single" w:sz="4" w:space="0" w:color="auto"/>
                  </w:tcBorders>
                  <w:noWrap/>
                  <w:vAlign w:val="bottom"/>
                  <w:hideMark/>
                </w:tcPr>
                <w:p w:rsidR="00D926DE" w:rsidRPr="002E1A0A" w:rsidRDefault="00D926DE" w:rsidP="0084524E">
                  <w:pPr>
                    <w:jc w:val="both"/>
                    <w:rPr>
                      <w:rFonts w:ascii="Arial" w:hAnsi="Arial" w:cs="Arial"/>
                      <w:b/>
                      <w:bCs/>
                      <w:color w:val="000000"/>
                      <w:sz w:val="15"/>
                      <w:szCs w:val="15"/>
                    </w:rPr>
                  </w:pPr>
                  <w:r w:rsidRPr="002E1A0A">
                    <w:rPr>
                      <w:rFonts w:ascii="Arial" w:hAnsi="Arial" w:cs="Arial"/>
                      <w:b/>
                      <w:bCs/>
                      <w:color w:val="000000"/>
                      <w:sz w:val="15"/>
                      <w:szCs w:val="15"/>
                    </w:rPr>
                    <w:t xml:space="preserve">(Obras, serviços de engenharia, locação de bens, aquisição de </w:t>
                  </w:r>
                  <w:proofErr w:type="gramStart"/>
                  <w:r w:rsidRPr="002E1A0A">
                    <w:rPr>
                      <w:rFonts w:ascii="Arial" w:hAnsi="Arial" w:cs="Arial"/>
                      <w:b/>
                      <w:bCs/>
                      <w:color w:val="000000"/>
                      <w:sz w:val="15"/>
                      <w:szCs w:val="15"/>
                    </w:rPr>
                    <w:t>bens</w:t>
                  </w:r>
                  <w:proofErr w:type="gramEnd"/>
                  <w:r w:rsidRPr="002E1A0A">
                    <w:rPr>
                      <w:rFonts w:ascii="Arial" w:hAnsi="Arial" w:cs="Arial"/>
                      <w:b/>
                      <w:bCs/>
                      <w:color w:val="000000"/>
                      <w:sz w:val="15"/>
                      <w:szCs w:val="15"/>
                    </w:rPr>
                    <w:t xml:space="preserve"> </w:t>
                  </w:r>
                </w:p>
              </w:tc>
              <w:tc>
                <w:tcPr>
                  <w:tcW w:w="495" w:type="pct"/>
                  <w:vMerge w:val="restart"/>
                  <w:tcBorders>
                    <w:top w:val="single" w:sz="4" w:space="0" w:color="auto"/>
                    <w:left w:val="nil"/>
                    <w:right w:val="single" w:sz="4" w:space="0" w:color="auto"/>
                  </w:tcBorders>
                  <w:vAlign w:val="center"/>
                  <w:hideMark/>
                </w:tcPr>
                <w:p w:rsidR="00D926DE" w:rsidRPr="002E1A0A" w:rsidRDefault="00D926DE" w:rsidP="0084524E">
                  <w:pPr>
                    <w:jc w:val="center"/>
                    <w:rPr>
                      <w:rFonts w:ascii="Arial" w:hAnsi="Arial" w:cs="Arial"/>
                      <w:b/>
                      <w:bCs/>
                      <w:color w:val="000000"/>
                      <w:sz w:val="15"/>
                      <w:szCs w:val="15"/>
                    </w:rPr>
                  </w:pPr>
                  <w:r w:rsidRPr="002E1A0A">
                    <w:rPr>
                      <w:rFonts w:ascii="Arial" w:hAnsi="Arial" w:cs="Arial"/>
                      <w:b/>
                      <w:bCs/>
                      <w:color w:val="000000"/>
                      <w:sz w:val="15"/>
                      <w:szCs w:val="15"/>
                    </w:rPr>
                    <w:t>Custeio e Despesas com Capital</w:t>
                  </w:r>
                </w:p>
              </w:tc>
              <w:tc>
                <w:tcPr>
                  <w:tcW w:w="563" w:type="pct"/>
                  <w:vMerge/>
                  <w:tcBorders>
                    <w:left w:val="single" w:sz="4" w:space="0" w:color="auto"/>
                    <w:right w:val="single" w:sz="4" w:space="0" w:color="auto"/>
                  </w:tcBorders>
                  <w:vAlign w:val="center"/>
                  <w:hideMark/>
                </w:tcPr>
                <w:p w:rsidR="00D926DE" w:rsidRPr="002E1A0A" w:rsidRDefault="00D926DE" w:rsidP="0084524E">
                  <w:pPr>
                    <w:rPr>
                      <w:rFonts w:ascii="Arial" w:hAnsi="Arial" w:cs="Arial"/>
                      <w:b/>
                      <w:bCs/>
                      <w:color w:val="000000"/>
                      <w:sz w:val="15"/>
                      <w:szCs w:val="15"/>
                    </w:rPr>
                  </w:pPr>
                </w:p>
              </w:tc>
              <w:tc>
                <w:tcPr>
                  <w:tcW w:w="563" w:type="pct"/>
                  <w:vMerge/>
                  <w:tcBorders>
                    <w:left w:val="single" w:sz="4" w:space="0" w:color="auto"/>
                    <w:right w:val="single" w:sz="4" w:space="0" w:color="auto"/>
                  </w:tcBorders>
                  <w:vAlign w:val="center"/>
                  <w:hideMark/>
                </w:tcPr>
                <w:p w:rsidR="00D926DE" w:rsidRPr="002E1A0A" w:rsidRDefault="00D926DE" w:rsidP="0084524E">
                  <w:pPr>
                    <w:rPr>
                      <w:rFonts w:ascii="Arial" w:hAnsi="Arial" w:cs="Arial"/>
                      <w:b/>
                      <w:bCs/>
                      <w:color w:val="000000"/>
                      <w:sz w:val="15"/>
                      <w:szCs w:val="15"/>
                    </w:rPr>
                  </w:pPr>
                </w:p>
              </w:tc>
              <w:tc>
                <w:tcPr>
                  <w:tcW w:w="634" w:type="pct"/>
                  <w:vMerge/>
                  <w:tcBorders>
                    <w:left w:val="single" w:sz="4" w:space="0" w:color="auto"/>
                    <w:right w:val="single" w:sz="4" w:space="0" w:color="auto"/>
                  </w:tcBorders>
                  <w:vAlign w:val="center"/>
                  <w:hideMark/>
                </w:tcPr>
                <w:p w:rsidR="00D926DE" w:rsidRPr="002E1A0A" w:rsidRDefault="00D926DE" w:rsidP="0084524E">
                  <w:pPr>
                    <w:rPr>
                      <w:rFonts w:ascii="Arial" w:hAnsi="Arial" w:cs="Arial"/>
                      <w:b/>
                      <w:bCs/>
                      <w:color w:val="000000"/>
                      <w:sz w:val="15"/>
                      <w:szCs w:val="15"/>
                    </w:rPr>
                  </w:pPr>
                </w:p>
              </w:tc>
              <w:tc>
                <w:tcPr>
                  <w:tcW w:w="563" w:type="pct"/>
                  <w:vMerge/>
                  <w:tcBorders>
                    <w:top w:val="single" w:sz="4" w:space="0" w:color="auto"/>
                    <w:left w:val="single" w:sz="4" w:space="0" w:color="auto"/>
                    <w:bottom w:val="single" w:sz="4" w:space="0" w:color="auto"/>
                    <w:right w:val="single" w:sz="4" w:space="0" w:color="auto"/>
                  </w:tcBorders>
                  <w:vAlign w:val="center"/>
                  <w:hideMark/>
                </w:tcPr>
                <w:p w:rsidR="00D926DE" w:rsidRPr="002E1A0A" w:rsidRDefault="00D926DE" w:rsidP="0084524E">
                  <w:pPr>
                    <w:rPr>
                      <w:rFonts w:ascii="Arial" w:hAnsi="Arial" w:cs="Arial"/>
                      <w:b/>
                      <w:bCs/>
                      <w:color w:val="000000"/>
                      <w:sz w:val="15"/>
                      <w:szCs w:val="15"/>
                    </w:rPr>
                  </w:pPr>
                </w:p>
              </w:tc>
              <w:tc>
                <w:tcPr>
                  <w:tcW w:w="563" w:type="pct"/>
                  <w:gridSpan w:val="3"/>
                  <w:vMerge/>
                  <w:tcBorders>
                    <w:left w:val="single" w:sz="4" w:space="0" w:color="auto"/>
                    <w:right w:val="single" w:sz="4" w:space="0" w:color="auto"/>
                  </w:tcBorders>
                  <w:vAlign w:val="center"/>
                  <w:hideMark/>
                </w:tcPr>
                <w:p w:rsidR="00D926DE" w:rsidRPr="002E1A0A" w:rsidRDefault="00D926DE" w:rsidP="0084524E">
                  <w:pPr>
                    <w:rPr>
                      <w:rFonts w:ascii="Arial" w:hAnsi="Arial" w:cs="Arial"/>
                      <w:b/>
                      <w:bCs/>
                      <w:color w:val="000000"/>
                      <w:sz w:val="15"/>
                      <w:szCs w:val="15"/>
                    </w:rPr>
                  </w:pPr>
                </w:p>
              </w:tc>
              <w:tc>
                <w:tcPr>
                  <w:tcW w:w="493" w:type="pct"/>
                  <w:gridSpan w:val="2"/>
                  <w:vMerge/>
                  <w:tcBorders>
                    <w:left w:val="single" w:sz="4" w:space="0" w:color="auto"/>
                    <w:right w:val="single" w:sz="4" w:space="0" w:color="auto"/>
                  </w:tcBorders>
                  <w:vAlign w:val="center"/>
                  <w:hideMark/>
                </w:tcPr>
                <w:p w:rsidR="00D926DE" w:rsidRPr="002E1A0A" w:rsidRDefault="00D926DE" w:rsidP="0084524E">
                  <w:pPr>
                    <w:rPr>
                      <w:rFonts w:ascii="Arial" w:hAnsi="Arial" w:cs="Arial"/>
                      <w:b/>
                      <w:bCs/>
                      <w:color w:val="000000"/>
                      <w:sz w:val="15"/>
                      <w:szCs w:val="15"/>
                    </w:rPr>
                  </w:pPr>
                </w:p>
              </w:tc>
              <w:tc>
                <w:tcPr>
                  <w:tcW w:w="555" w:type="pct"/>
                  <w:gridSpan w:val="2"/>
                  <w:vMerge/>
                  <w:tcBorders>
                    <w:left w:val="single" w:sz="4" w:space="0" w:color="auto"/>
                    <w:right w:val="nil"/>
                  </w:tcBorders>
                  <w:vAlign w:val="center"/>
                  <w:hideMark/>
                </w:tcPr>
                <w:p w:rsidR="00D926DE" w:rsidRPr="002E1A0A" w:rsidRDefault="00D926DE" w:rsidP="0084524E">
                  <w:pPr>
                    <w:rPr>
                      <w:rFonts w:ascii="Arial" w:hAnsi="Arial" w:cs="Arial"/>
                      <w:b/>
                      <w:bCs/>
                      <w:color w:val="000000"/>
                      <w:sz w:val="15"/>
                      <w:szCs w:val="15"/>
                    </w:rPr>
                  </w:pPr>
                </w:p>
              </w:tc>
            </w:tr>
            <w:tr w:rsidR="002D4040" w:rsidRPr="002E1A0A" w:rsidTr="00673936">
              <w:trPr>
                <w:divId w:val="331639225"/>
                <w:trHeight w:val="20"/>
                <w:jc w:val="center"/>
              </w:trPr>
              <w:tc>
                <w:tcPr>
                  <w:tcW w:w="571" w:type="pct"/>
                  <w:tcBorders>
                    <w:top w:val="single" w:sz="4" w:space="0" w:color="auto"/>
                    <w:left w:val="nil"/>
                    <w:bottom w:val="single" w:sz="4" w:space="0" w:color="auto"/>
                    <w:right w:val="single" w:sz="4" w:space="0" w:color="auto"/>
                  </w:tcBorders>
                  <w:noWrap/>
                  <w:vAlign w:val="bottom"/>
                </w:tcPr>
                <w:p w:rsidR="00D926DE" w:rsidRPr="002E1A0A" w:rsidRDefault="00D926DE" w:rsidP="0084524E">
                  <w:pPr>
                    <w:jc w:val="both"/>
                    <w:rPr>
                      <w:rFonts w:ascii="Arial" w:hAnsi="Arial" w:cs="Arial"/>
                      <w:b/>
                      <w:bCs/>
                      <w:color w:val="000000"/>
                      <w:sz w:val="15"/>
                      <w:szCs w:val="15"/>
                    </w:rPr>
                  </w:pPr>
                  <w:proofErr w:type="gramStart"/>
                  <w:r w:rsidRPr="002E1A0A">
                    <w:rPr>
                      <w:rFonts w:ascii="Arial" w:hAnsi="Arial" w:cs="Arial"/>
                      <w:b/>
                      <w:bCs/>
                      <w:color w:val="000000"/>
                      <w:sz w:val="15"/>
                      <w:szCs w:val="15"/>
                    </w:rPr>
                    <w:t>e</w:t>
                  </w:r>
                  <w:proofErr w:type="gramEnd"/>
                  <w:r w:rsidRPr="002E1A0A">
                    <w:rPr>
                      <w:rFonts w:ascii="Arial" w:hAnsi="Arial" w:cs="Arial"/>
                      <w:b/>
                      <w:bCs/>
                      <w:color w:val="000000"/>
                      <w:sz w:val="15"/>
                      <w:szCs w:val="15"/>
                    </w:rPr>
                    <w:t xml:space="preserve"> serviços, patrocínio institucional e alienação) (2)</w:t>
                  </w:r>
                </w:p>
              </w:tc>
              <w:tc>
                <w:tcPr>
                  <w:tcW w:w="495" w:type="pct"/>
                  <w:vMerge/>
                  <w:tcBorders>
                    <w:left w:val="single" w:sz="4" w:space="0" w:color="auto"/>
                    <w:bottom w:val="double" w:sz="6" w:space="0" w:color="000000"/>
                    <w:right w:val="single" w:sz="4" w:space="0" w:color="auto"/>
                  </w:tcBorders>
                  <w:vAlign w:val="center"/>
                </w:tcPr>
                <w:p w:rsidR="00D926DE" w:rsidRPr="002E1A0A" w:rsidRDefault="00D926DE" w:rsidP="0084524E">
                  <w:pPr>
                    <w:jc w:val="center"/>
                    <w:rPr>
                      <w:rFonts w:ascii="Arial" w:hAnsi="Arial" w:cs="Arial"/>
                      <w:b/>
                      <w:bCs/>
                      <w:color w:val="000000"/>
                      <w:sz w:val="15"/>
                      <w:szCs w:val="15"/>
                    </w:rPr>
                  </w:pPr>
                </w:p>
              </w:tc>
              <w:tc>
                <w:tcPr>
                  <w:tcW w:w="563" w:type="pct"/>
                  <w:vMerge/>
                  <w:tcBorders>
                    <w:left w:val="single" w:sz="4" w:space="0" w:color="auto"/>
                    <w:bottom w:val="double" w:sz="6" w:space="0" w:color="000000"/>
                    <w:right w:val="single" w:sz="4" w:space="0" w:color="auto"/>
                  </w:tcBorders>
                  <w:vAlign w:val="center"/>
                </w:tcPr>
                <w:p w:rsidR="00D926DE" w:rsidRPr="002E1A0A" w:rsidRDefault="00D926DE" w:rsidP="0084524E">
                  <w:pPr>
                    <w:rPr>
                      <w:rFonts w:ascii="Arial" w:hAnsi="Arial" w:cs="Arial"/>
                      <w:b/>
                      <w:bCs/>
                      <w:color w:val="000000"/>
                      <w:sz w:val="15"/>
                      <w:szCs w:val="15"/>
                    </w:rPr>
                  </w:pPr>
                </w:p>
              </w:tc>
              <w:tc>
                <w:tcPr>
                  <w:tcW w:w="563" w:type="pct"/>
                  <w:vMerge/>
                  <w:tcBorders>
                    <w:left w:val="single" w:sz="4" w:space="0" w:color="auto"/>
                    <w:bottom w:val="double" w:sz="6" w:space="0" w:color="000000"/>
                    <w:right w:val="single" w:sz="4" w:space="0" w:color="auto"/>
                  </w:tcBorders>
                  <w:vAlign w:val="center"/>
                </w:tcPr>
                <w:p w:rsidR="00D926DE" w:rsidRPr="002E1A0A" w:rsidRDefault="00D926DE" w:rsidP="0084524E">
                  <w:pPr>
                    <w:rPr>
                      <w:rFonts w:ascii="Arial" w:hAnsi="Arial" w:cs="Arial"/>
                      <w:b/>
                      <w:bCs/>
                      <w:color w:val="000000"/>
                      <w:sz w:val="15"/>
                      <w:szCs w:val="15"/>
                    </w:rPr>
                  </w:pPr>
                </w:p>
              </w:tc>
              <w:tc>
                <w:tcPr>
                  <w:tcW w:w="634" w:type="pct"/>
                  <w:vMerge/>
                  <w:tcBorders>
                    <w:left w:val="single" w:sz="4" w:space="0" w:color="auto"/>
                    <w:bottom w:val="double" w:sz="6" w:space="0" w:color="000000"/>
                    <w:right w:val="single" w:sz="4" w:space="0" w:color="auto"/>
                  </w:tcBorders>
                  <w:vAlign w:val="center"/>
                </w:tcPr>
                <w:p w:rsidR="00D926DE" w:rsidRPr="002E1A0A" w:rsidRDefault="00D926DE" w:rsidP="0084524E">
                  <w:pPr>
                    <w:rPr>
                      <w:rFonts w:ascii="Arial" w:hAnsi="Arial" w:cs="Arial"/>
                      <w:b/>
                      <w:bCs/>
                      <w:color w:val="000000"/>
                      <w:sz w:val="15"/>
                      <w:szCs w:val="15"/>
                    </w:rPr>
                  </w:pPr>
                </w:p>
              </w:tc>
              <w:tc>
                <w:tcPr>
                  <w:tcW w:w="563" w:type="pct"/>
                  <w:vMerge/>
                  <w:tcBorders>
                    <w:top w:val="single" w:sz="4" w:space="0" w:color="auto"/>
                    <w:left w:val="single" w:sz="4" w:space="0" w:color="auto"/>
                    <w:bottom w:val="single" w:sz="4" w:space="0" w:color="auto"/>
                    <w:right w:val="single" w:sz="4" w:space="0" w:color="auto"/>
                  </w:tcBorders>
                  <w:vAlign w:val="center"/>
                </w:tcPr>
                <w:p w:rsidR="00D926DE" w:rsidRPr="002E1A0A" w:rsidRDefault="00D926DE" w:rsidP="0084524E">
                  <w:pPr>
                    <w:rPr>
                      <w:rFonts w:ascii="Arial" w:hAnsi="Arial" w:cs="Arial"/>
                      <w:b/>
                      <w:bCs/>
                      <w:color w:val="000000"/>
                      <w:sz w:val="15"/>
                      <w:szCs w:val="15"/>
                    </w:rPr>
                  </w:pPr>
                </w:p>
              </w:tc>
              <w:tc>
                <w:tcPr>
                  <w:tcW w:w="563" w:type="pct"/>
                  <w:gridSpan w:val="3"/>
                  <w:vMerge/>
                  <w:tcBorders>
                    <w:left w:val="single" w:sz="4" w:space="0" w:color="auto"/>
                    <w:bottom w:val="double" w:sz="6" w:space="0" w:color="000000"/>
                    <w:right w:val="single" w:sz="4" w:space="0" w:color="auto"/>
                  </w:tcBorders>
                  <w:vAlign w:val="center"/>
                </w:tcPr>
                <w:p w:rsidR="00D926DE" w:rsidRPr="002E1A0A" w:rsidRDefault="00D926DE" w:rsidP="0084524E">
                  <w:pPr>
                    <w:rPr>
                      <w:rFonts w:ascii="Arial" w:hAnsi="Arial" w:cs="Arial"/>
                      <w:b/>
                      <w:bCs/>
                      <w:color w:val="000000"/>
                      <w:sz w:val="15"/>
                      <w:szCs w:val="15"/>
                    </w:rPr>
                  </w:pPr>
                </w:p>
              </w:tc>
              <w:tc>
                <w:tcPr>
                  <w:tcW w:w="493" w:type="pct"/>
                  <w:gridSpan w:val="2"/>
                  <w:vMerge/>
                  <w:tcBorders>
                    <w:left w:val="single" w:sz="4" w:space="0" w:color="auto"/>
                    <w:bottom w:val="double" w:sz="6" w:space="0" w:color="000000"/>
                    <w:right w:val="single" w:sz="4" w:space="0" w:color="auto"/>
                  </w:tcBorders>
                  <w:vAlign w:val="center"/>
                </w:tcPr>
                <w:p w:rsidR="00D926DE" w:rsidRPr="002E1A0A" w:rsidRDefault="00D926DE" w:rsidP="0084524E">
                  <w:pPr>
                    <w:rPr>
                      <w:rFonts w:ascii="Arial" w:hAnsi="Arial" w:cs="Arial"/>
                      <w:b/>
                      <w:bCs/>
                      <w:color w:val="000000"/>
                      <w:sz w:val="15"/>
                      <w:szCs w:val="15"/>
                    </w:rPr>
                  </w:pPr>
                </w:p>
              </w:tc>
              <w:tc>
                <w:tcPr>
                  <w:tcW w:w="555" w:type="pct"/>
                  <w:gridSpan w:val="2"/>
                  <w:vMerge/>
                  <w:tcBorders>
                    <w:left w:val="single" w:sz="4" w:space="0" w:color="auto"/>
                    <w:bottom w:val="double" w:sz="6" w:space="0" w:color="000000"/>
                    <w:right w:val="nil"/>
                  </w:tcBorders>
                  <w:vAlign w:val="center"/>
                </w:tcPr>
                <w:p w:rsidR="00D926DE" w:rsidRPr="002E1A0A" w:rsidRDefault="00D926DE" w:rsidP="0084524E">
                  <w:pPr>
                    <w:rPr>
                      <w:rFonts w:ascii="Arial" w:hAnsi="Arial" w:cs="Arial"/>
                      <w:b/>
                      <w:bCs/>
                      <w:color w:val="000000"/>
                      <w:sz w:val="15"/>
                      <w:szCs w:val="15"/>
                    </w:rPr>
                  </w:pPr>
                </w:p>
              </w:tc>
            </w:tr>
            <w:tr w:rsidR="002D4040" w:rsidRPr="002E1A0A" w:rsidTr="00673936">
              <w:trPr>
                <w:divId w:val="331639225"/>
                <w:trHeight w:val="20"/>
                <w:jc w:val="center"/>
              </w:trPr>
              <w:tc>
                <w:tcPr>
                  <w:tcW w:w="571" w:type="pct"/>
                  <w:tcBorders>
                    <w:top w:val="single" w:sz="4" w:space="0" w:color="auto"/>
                    <w:left w:val="nil"/>
                    <w:bottom w:val="single" w:sz="4" w:space="0" w:color="auto"/>
                    <w:right w:val="single" w:sz="4" w:space="0" w:color="auto"/>
                  </w:tcBorders>
                  <w:noWrap/>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 xml:space="preserve">Até 8.000,00 </w:t>
                  </w:r>
                  <w:r w:rsidRPr="002E1A0A">
                    <w:rPr>
                      <w:rFonts w:ascii="Arial" w:hAnsi="Arial" w:cs="Arial"/>
                      <w:b/>
                      <w:color w:val="000000"/>
                      <w:sz w:val="15"/>
                      <w:szCs w:val="15"/>
                    </w:rPr>
                    <w:t>(3)</w:t>
                  </w:r>
                </w:p>
              </w:tc>
              <w:tc>
                <w:tcPr>
                  <w:tcW w:w="495" w:type="pct"/>
                  <w:tcBorders>
                    <w:left w:val="single" w:sz="4" w:space="0" w:color="auto"/>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p>
              </w:tc>
              <w:tc>
                <w:tcPr>
                  <w:tcW w:w="563" w:type="pct"/>
                  <w:tcBorders>
                    <w:top w:val="nil"/>
                    <w:left w:val="nil"/>
                    <w:bottom w:val="single" w:sz="4" w:space="0" w:color="auto"/>
                    <w:right w:val="single" w:sz="4" w:space="0" w:color="auto"/>
                  </w:tcBorders>
                  <w:noWrap/>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 . .</w:t>
                  </w:r>
                </w:p>
              </w:tc>
              <w:tc>
                <w:tcPr>
                  <w:tcW w:w="563" w:type="pct"/>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Coordenador da CVPAF /Gerente Geral GGGAF</w:t>
                  </w:r>
                </w:p>
              </w:tc>
              <w:tc>
                <w:tcPr>
                  <w:tcW w:w="634" w:type="pct"/>
                  <w:tcBorders>
                    <w:top w:val="nil"/>
                    <w:left w:val="nil"/>
                    <w:bottom w:val="single" w:sz="4" w:space="0" w:color="auto"/>
                    <w:right w:val="single" w:sz="4" w:space="0" w:color="auto"/>
                  </w:tcBorders>
                  <w:noWrap/>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 . .</w:t>
                  </w:r>
                </w:p>
              </w:tc>
              <w:tc>
                <w:tcPr>
                  <w:tcW w:w="563" w:type="pct"/>
                  <w:tcBorders>
                    <w:top w:val="single" w:sz="4" w:space="0" w:color="auto"/>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Coordenador da CVPAF/CCONP</w:t>
                  </w:r>
                </w:p>
              </w:tc>
              <w:tc>
                <w:tcPr>
                  <w:tcW w:w="634" w:type="pct"/>
                  <w:gridSpan w:val="4"/>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Gerente Geral GGPAF/ GGGAF</w:t>
                  </w:r>
                </w:p>
              </w:tc>
              <w:tc>
                <w:tcPr>
                  <w:tcW w:w="492" w:type="pct"/>
                  <w:gridSpan w:val="2"/>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Coordenador da CVPAF/Gerente Geral GGGAF</w:t>
                  </w:r>
                </w:p>
              </w:tc>
              <w:tc>
                <w:tcPr>
                  <w:tcW w:w="485" w:type="pct"/>
                  <w:tcBorders>
                    <w:top w:val="nil"/>
                    <w:left w:val="nil"/>
                    <w:bottom w:val="single" w:sz="4" w:space="0" w:color="auto"/>
                    <w:right w:val="nil"/>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 xml:space="preserve">Limite do Art. 24, Inciso II da Lei </w:t>
                  </w:r>
                  <w:proofErr w:type="gramStart"/>
                  <w:r w:rsidRPr="002E1A0A">
                    <w:rPr>
                      <w:rFonts w:ascii="Arial" w:hAnsi="Arial" w:cs="Arial"/>
                      <w:color w:val="000000"/>
                      <w:sz w:val="15"/>
                      <w:szCs w:val="15"/>
                    </w:rPr>
                    <w:t>8666/93</w:t>
                  </w:r>
                  <w:proofErr w:type="gramEnd"/>
                </w:p>
              </w:tc>
            </w:tr>
            <w:tr w:rsidR="002D4040" w:rsidRPr="002E1A0A" w:rsidTr="00673936">
              <w:trPr>
                <w:divId w:val="331639225"/>
                <w:trHeight w:val="20"/>
                <w:jc w:val="center"/>
              </w:trPr>
              <w:tc>
                <w:tcPr>
                  <w:tcW w:w="571" w:type="pct"/>
                  <w:tcBorders>
                    <w:top w:val="nil"/>
                    <w:left w:val="nil"/>
                    <w:bottom w:val="single" w:sz="4" w:space="0" w:color="auto"/>
                    <w:right w:val="single" w:sz="4" w:space="0" w:color="auto"/>
                  </w:tcBorders>
                  <w:noWrap/>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Até 150.000,00</w:t>
                  </w:r>
                </w:p>
              </w:tc>
              <w:tc>
                <w:tcPr>
                  <w:tcW w:w="495" w:type="pct"/>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Gerente Geral da Área Demandante ou Equivalente/Coordenador CVPAF</w:t>
                  </w:r>
                </w:p>
              </w:tc>
              <w:tc>
                <w:tcPr>
                  <w:tcW w:w="563" w:type="pct"/>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 xml:space="preserve">Coordenador CVPAF/ Gerente Geral GGGAF </w:t>
                  </w:r>
                </w:p>
                <w:p w:rsidR="00D926DE" w:rsidRPr="002E1A0A" w:rsidRDefault="00D926DE" w:rsidP="0084524E">
                  <w:pPr>
                    <w:jc w:val="center"/>
                    <w:rPr>
                      <w:rFonts w:ascii="Arial" w:hAnsi="Arial" w:cs="Arial"/>
                      <w:color w:val="000000"/>
                      <w:sz w:val="15"/>
                      <w:szCs w:val="15"/>
                    </w:rPr>
                  </w:pPr>
                </w:p>
              </w:tc>
              <w:tc>
                <w:tcPr>
                  <w:tcW w:w="563" w:type="pct"/>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Coordenador da CVPAF /Gerente Geral GGGAF</w:t>
                  </w:r>
                </w:p>
              </w:tc>
              <w:tc>
                <w:tcPr>
                  <w:tcW w:w="634" w:type="pct"/>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 xml:space="preserve">Coordenador CVPAF/ Gerente Geral GGGAF </w:t>
                  </w:r>
                </w:p>
              </w:tc>
              <w:tc>
                <w:tcPr>
                  <w:tcW w:w="563" w:type="pct"/>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Gerente Geral GGPAF/GGGAF</w:t>
                  </w:r>
                </w:p>
              </w:tc>
              <w:tc>
                <w:tcPr>
                  <w:tcW w:w="634" w:type="pct"/>
                  <w:gridSpan w:val="4"/>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Diretor DIGES</w:t>
                  </w:r>
                </w:p>
              </w:tc>
              <w:tc>
                <w:tcPr>
                  <w:tcW w:w="492" w:type="pct"/>
                  <w:gridSpan w:val="2"/>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Coordenador da CVPAF/Gerente Geral GGGAF</w:t>
                  </w:r>
                </w:p>
              </w:tc>
              <w:tc>
                <w:tcPr>
                  <w:tcW w:w="485" w:type="pct"/>
                  <w:tcBorders>
                    <w:top w:val="nil"/>
                    <w:left w:val="nil"/>
                    <w:bottom w:val="single" w:sz="4" w:space="0" w:color="auto"/>
                    <w:right w:val="nil"/>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1,875 x limite da Carta Convite</w:t>
                  </w:r>
                </w:p>
              </w:tc>
            </w:tr>
            <w:tr w:rsidR="002D4040" w:rsidRPr="002E1A0A" w:rsidTr="00673936">
              <w:trPr>
                <w:divId w:val="331639225"/>
                <w:trHeight w:val="20"/>
                <w:jc w:val="center"/>
              </w:trPr>
              <w:tc>
                <w:tcPr>
                  <w:tcW w:w="571" w:type="pct"/>
                  <w:tcBorders>
                    <w:top w:val="nil"/>
                    <w:left w:val="nil"/>
                    <w:bottom w:val="single" w:sz="4" w:space="0" w:color="auto"/>
                    <w:right w:val="single" w:sz="4" w:space="0" w:color="auto"/>
                  </w:tcBorders>
                  <w:noWrap/>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Até 500.000,00</w:t>
                  </w:r>
                </w:p>
              </w:tc>
              <w:tc>
                <w:tcPr>
                  <w:tcW w:w="495" w:type="pct"/>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Gerente Geral da Área Demandante ou Equivalente/Coordenador CVPAF</w:t>
                  </w:r>
                </w:p>
              </w:tc>
              <w:tc>
                <w:tcPr>
                  <w:tcW w:w="563" w:type="pct"/>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Gerente Geral GGPAF/GGGAF</w:t>
                  </w:r>
                </w:p>
              </w:tc>
              <w:tc>
                <w:tcPr>
                  <w:tcW w:w="563" w:type="pct"/>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Gerente Geral GGPAF/GGGAF</w:t>
                  </w:r>
                </w:p>
              </w:tc>
              <w:tc>
                <w:tcPr>
                  <w:tcW w:w="634" w:type="pct"/>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Coordenador CVPAF/ Gerente Geral GGGAF</w:t>
                  </w:r>
                </w:p>
              </w:tc>
              <w:tc>
                <w:tcPr>
                  <w:tcW w:w="563" w:type="pct"/>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Gerente Geral GGPAF/GGGAF</w:t>
                  </w:r>
                </w:p>
              </w:tc>
              <w:tc>
                <w:tcPr>
                  <w:tcW w:w="634" w:type="pct"/>
                  <w:gridSpan w:val="4"/>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Diretor DIGES</w:t>
                  </w:r>
                </w:p>
              </w:tc>
              <w:tc>
                <w:tcPr>
                  <w:tcW w:w="492" w:type="pct"/>
                  <w:gridSpan w:val="2"/>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Coordenador da CVPAF/Gerente Geral GGGAF</w:t>
                  </w:r>
                </w:p>
              </w:tc>
              <w:tc>
                <w:tcPr>
                  <w:tcW w:w="485" w:type="pct"/>
                  <w:tcBorders>
                    <w:top w:val="nil"/>
                    <w:left w:val="nil"/>
                    <w:bottom w:val="single" w:sz="4" w:space="0" w:color="auto"/>
                    <w:right w:val="nil"/>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 xml:space="preserve">Decreto 7689/12; Portaria/GM/MS </w:t>
                  </w:r>
                  <w:proofErr w:type="gramStart"/>
                  <w:r w:rsidRPr="002E1A0A">
                    <w:rPr>
                      <w:rFonts w:ascii="Arial" w:hAnsi="Arial" w:cs="Arial"/>
                      <w:color w:val="000000"/>
                      <w:sz w:val="15"/>
                      <w:szCs w:val="15"/>
                    </w:rPr>
                    <w:t>1.338</w:t>
                  </w:r>
                  <w:proofErr w:type="gramEnd"/>
                </w:p>
              </w:tc>
            </w:tr>
            <w:tr w:rsidR="002D4040" w:rsidRPr="002E1A0A" w:rsidTr="00673936">
              <w:trPr>
                <w:divId w:val="331639225"/>
                <w:trHeight w:val="20"/>
                <w:jc w:val="center"/>
              </w:trPr>
              <w:tc>
                <w:tcPr>
                  <w:tcW w:w="571" w:type="pct"/>
                  <w:tcBorders>
                    <w:top w:val="nil"/>
                    <w:left w:val="nil"/>
                    <w:bottom w:val="single" w:sz="4" w:space="0" w:color="auto"/>
                    <w:right w:val="single" w:sz="4" w:space="0" w:color="auto"/>
                  </w:tcBorders>
                  <w:noWrap/>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Até 1.000.000,00</w:t>
                  </w:r>
                </w:p>
              </w:tc>
              <w:tc>
                <w:tcPr>
                  <w:tcW w:w="495" w:type="pct"/>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Gerente Geral da Área Demandante ou Equivalente</w:t>
                  </w:r>
                </w:p>
              </w:tc>
              <w:tc>
                <w:tcPr>
                  <w:tcW w:w="563" w:type="pct"/>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Diretor DIGES</w:t>
                  </w:r>
                </w:p>
              </w:tc>
              <w:tc>
                <w:tcPr>
                  <w:tcW w:w="563" w:type="pct"/>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Diretor DIGES</w:t>
                  </w:r>
                </w:p>
              </w:tc>
              <w:tc>
                <w:tcPr>
                  <w:tcW w:w="634" w:type="pct"/>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Coordenador CVPAF/ Gerente Geral GGGAF</w:t>
                  </w:r>
                </w:p>
              </w:tc>
              <w:tc>
                <w:tcPr>
                  <w:tcW w:w="563" w:type="pct"/>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Gerente Geral GGPAF/GGGAF</w:t>
                  </w:r>
                </w:p>
              </w:tc>
              <w:tc>
                <w:tcPr>
                  <w:tcW w:w="634" w:type="pct"/>
                  <w:gridSpan w:val="4"/>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Diretor DIGES</w:t>
                  </w:r>
                </w:p>
              </w:tc>
              <w:tc>
                <w:tcPr>
                  <w:tcW w:w="492" w:type="pct"/>
                  <w:gridSpan w:val="2"/>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Gerente Geral GGPAF/ GGGAF</w:t>
                  </w:r>
                </w:p>
              </w:tc>
              <w:tc>
                <w:tcPr>
                  <w:tcW w:w="485" w:type="pct"/>
                  <w:tcBorders>
                    <w:top w:val="nil"/>
                    <w:left w:val="nil"/>
                    <w:bottom w:val="single" w:sz="4" w:space="0" w:color="auto"/>
                    <w:right w:val="nil"/>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Decreto 7689/12; Portaria/GM/MS 1.338/</w:t>
                  </w:r>
                  <w:proofErr w:type="gramStart"/>
                  <w:r w:rsidRPr="002E1A0A">
                    <w:rPr>
                      <w:rFonts w:ascii="Arial" w:hAnsi="Arial" w:cs="Arial"/>
                      <w:color w:val="000000"/>
                      <w:sz w:val="15"/>
                      <w:szCs w:val="15"/>
                    </w:rPr>
                    <w:t>12</w:t>
                  </w:r>
                  <w:proofErr w:type="gramEnd"/>
                </w:p>
              </w:tc>
            </w:tr>
            <w:tr w:rsidR="002D4040" w:rsidRPr="002E1A0A" w:rsidTr="00673936">
              <w:trPr>
                <w:divId w:val="331639225"/>
                <w:trHeight w:val="20"/>
                <w:jc w:val="center"/>
              </w:trPr>
              <w:tc>
                <w:tcPr>
                  <w:tcW w:w="571" w:type="pct"/>
                  <w:tcBorders>
                    <w:top w:val="nil"/>
                    <w:left w:val="nil"/>
                    <w:bottom w:val="single" w:sz="4" w:space="0" w:color="auto"/>
                    <w:right w:val="single" w:sz="4" w:space="0" w:color="auto"/>
                  </w:tcBorders>
                  <w:noWrap/>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Até 10.000.000,00</w:t>
                  </w:r>
                </w:p>
              </w:tc>
              <w:tc>
                <w:tcPr>
                  <w:tcW w:w="495" w:type="pct"/>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sz w:val="15"/>
                      <w:szCs w:val="15"/>
                    </w:rPr>
                  </w:pPr>
                  <w:r w:rsidRPr="002E1A0A">
                    <w:rPr>
                      <w:rFonts w:ascii="Arial" w:hAnsi="Arial" w:cs="Arial"/>
                      <w:sz w:val="15"/>
                      <w:szCs w:val="15"/>
                    </w:rPr>
                    <w:t xml:space="preserve">Gerente Geral da Área Demandante ou Equivalente </w:t>
                  </w:r>
                </w:p>
              </w:tc>
              <w:tc>
                <w:tcPr>
                  <w:tcW w:w="563" w:type="pct"/>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Diretor Presidente</w:t>
                  </w:r>
                </w:p>
              </w:tc>
              <w:tc>
                <w:tcPr>
                  <w:tcW w:w="563" w:type="pct"/>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Diretor Presidente</w:t>
                  </w:r>
                </w:p>
              </w:tc>
              <w:tc>
                <w:tcPr>
                  <w:tcW w:w="634" w:type="pct"/>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Coordenador CVPAF/ Gerente Geral GGGAF</w:t>
                  </w:r>
                </w:p>
              </w:tc>
              <w:tc>
                <w:tcPr>
                  <w:tcW w:w="563" w:type="pct"/>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Gerente Geral GGPAF/GGGAF</w:t>
                  </w:r>
                </w:p>
              </w:tc>
              <w:tc>
                <w:tcPr>
                  <w:tcW w:w="634" w:type="pct"/>
                  <w:gridSpan w:val="4"/>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Diretor DIGES</w:t>
                  </w:r>
                </w:p>
              </w:tc>
              <w:tc>
                <w:tcPr>
                  <w:tcW w:w="492" w:type="pct"/>
                  <w:gridSpan w:val="2"/>
                  <w:tcBorders>
                    <w:top w:val="nil"/>
                    <w:left w:val="nil"/>
                    <w:bottom w:val="single" w:sz="4" w:space="0" w:color="auto"/>
                    <w:right w:val="single" w:sz="4" w:space="0" w:color="auto"/>
                  </w:tcBorders>
                  <w:vAlign w:val="center"/>
                  <w:hideMark/>
                </w:tcPr>
                <w:p w:rsidR="00D926DE" w:rsidRPr="002E1A0A" w:rsidRDefault="00D926DE" w:rsidP="0084524E">
                  <w:pPr>
                    <w:jc w:val="center"/>
                    <w:rPr>
                      <w:rFonts w:ascii="Arial" w:hAnsi="Arial" w:cs="Arial"/>
                      <w:sz w:val="15"/>
                      <w:szCs w:val="15"/>
                    </w:rPr>
                  </w:pPr>
                  <w:r w:rsidRPr="002E1A0A">
                    <w:rPr>
                      <w:rFonts w:ascii="Arial" w:hAnsi="Arial" w:cs="Arial"/>
                      <w:sz w:val="15"/>
                      <w:szCs w:val="15"/>
                    </w:rPr>
                    <w:t xml:space="preserve">Gerente Geral GGPAF/GGGAF </w:t>
                  </w:r>
                </w:p>
              </w:tc>
              <w:tc>
                <w:tcPr>
                  <w:tcW w:w="485" w:type="pct"/>
                  <w:tcBorders>
                    <w:top w:val="nil"/>
                    <w:left w:val="nil"/>
                    <w:bottom w:val="single" w:sz="4" w:space="0" w:color="auto"/>
                    <w:right w:val="nil"/>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Decreto 7689/12; Portaria/GM/MS 1.338/</w:t>
                  </w:r>
                  <w:proofErr w:type="gramStart"/>
                  <w:r w:rsidRPr="002E1A0A">
                    <w:rPr>
                      <w:rFonts w:ascii="Arial" w:hAnsi="Arial" w:cs="Arial"/>
                      <w:color w:val="000000"/>
                      <w:sz w:val="15"/>
                      <w:szCs w:val="15"/>
                    </w:rPr>
                    <w:t>12</w:t>
                  </w:r>
                  <w:proofErr w:type="gramEnd"/>
                </w:p>
              </w:tc>
            </w:tr>
            <w:tr w:rsidR="002D4040" w:rsidRPr="002E1A0A" w:rsidTr="00673936">
              <w:trPr>
                <w:divId w:val="331639225"/>
                <w:trHeight w:val="70"/>
                <w:jc w:val="center"/>
              </w:trPr>
              <w:tc>
                <w:tcPr>
                  <w:tcW w:w="571" w:type="pct"/>
                  <w:tcBorders>
                    <w:top w:val="nil"/>
                    <w:left w:val="nil"/>
                    <w:right w:val="single" w:sz="4" w:space="0" w:color="auto"/>
                  </w:tcBorders>
                  <w:noWrap/>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Acima de 10.000.000,00</w:t>
                  </w:r>
                </w:p>
              </w:tc>
              <w:tc>
                <w:tcPr>
                  <w:tcW w:w="495" w:type="pct"/>
                  <w:tcBorders>
                    <w:top w:val="nil"/>
                    <w:left w:val="nil"/>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Diretoria Colegiada - DICOL</w:t>
                  </w:r>
                </w:p>
              </w:tc>
              <w:tc>
                <w:tcPr>
                  <w:tcW w:w="563" w:type="pct"/>
                  <w:tcBorders>
                    <w:top w:val="nil"/>
                    <w:left w:val="nil"/>
                    <w:right w:val="single" w:sz="4" w:space="0" w:color="auto"/>
                  </w:tcBorders>
                  <w:vAlign w:val="center"/>
                  <w:hideMark/>
                </w:tcPr>
                <w:p w:rsidR="00D926DE" w:rsidRPr="002E1A0A" w:rsidRDefault="00D926DE" w:rsidP="0084524E">
                  <w:pPr>
                    <w:jc w:val="center"/>
                    <w:rPr>
                      <w:rFonts w:ascii="Arial" w:hAnsi="Arial" w:cs="Arial"/>
                      <w:sz w:val="15"/>
                      <w:szCs w:val="15"/>
                    </w:rPr>
                  </w:pPr>
                  <w:r w:rsidRPr="002E1A0A">
                    <w:rPr>
                      <w:rFonts w:ascii="Arial" w:hAnsi="Arial" w:cs="Arial"/>
                      <w:sz w:val="15"/>
                      <w:szCs w:val="15"/>
                    </w:rPr>
                    <w:t xml:space="preserve">Ministro de Estado da </w:t>
                  </w:r>
                </w:p>
                <w:p w:rsidR="00D926DE" w:rsidRPr="002E1A0A" w:rsidRDefault="00D926DE" w:rsidP="0084524E">
                  <w:pPr>
                    <w:jc w:val="center"/>
                    <w:rPr>
                      <w:rFonts w:ascii="Arial" w:hAnsi="Arial" w:cs="Arial"/>
                      <w:sz w:val="15"/>
                      <w:szCs w:val="15"/>
                    </w:rPr>
                  </w:pPr>
                  <w:r w:rsidRPr="002E1A0A">
                    <w:rPr>
                      <w:rFonts w:ascii="Arial" w:hAnsi="Arial" w:cs="Arial"/>
                      <w:sz w:val="15"/>
                      <w:szCs w:val="15"/>
                    </w:rPr>
                    <w:t xml:space="preserve">Saúde </w:t>
                  </w:r>
                  <w:r w:rsidRPr="002E1A0A">
                    <w:rPr>
                      <w:rFonts w:ascii="Arial" w:hAnsi="Arial" w:cs="Arial"/>
                      <w:b/>
                      <w:sz w:val="15"/>
                      <w:szCs w:val="15"/>
                    </w:rPr>
                    <w:t>(4)</w:t>
                  </w:r>
                </w:p>
              </w:tc>
              <w:tc>
                <w:tcPr>
                  <w:tcW w:w="563" w:type="pct"/>
                  <w:tcBorders>
                    <w:top w:val="nil"/>
                    <w:left w:val="nil"/>
                    <w:bottom w:val="double" w:sz="6"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 xml:space="preserve">Ministro de Estado da Saúde </w:t>
                  </w:r>
                  <w:r w:rsidRPr="002E1A0A">
                    <w:rPr>
                      <w:rFonts w:ascii="Arial" w:hAnsi="Arial" w:cs="Arial"/>
                      <w:b/>
                      <w:sz w:val="15"/>
                      <w:szCs w:val="15"/>
                    </w:rPr>
                    <w:t>(4)</w:t>
                  </w:r>
                </w:p>
              </w:tc>
              <w:tc>
                <w:tcPr>
                  <w:tcW w:w="634" w:type="pct"/>
                  <w:tcBorders>
                    <w:top w:val="nil"/>
                    <w:left w:val="nil"/>
                    <w:bottom w:val="double" w:sz="6" w:space="0" w:color="auto"/>
                    <w:right w:val="single" w:sz="4" w:space="0" w:color="auto"/>
                  </w:tcBorders>
                  <w:vAlign w:val="center"/>
                  <w:hideMark/>
                </w:tcPr>
                <w:p w:rsidR="00D926DE" w:rsidRPr="002E1A0A" w:rsidRDefault="00D926DE" w:rsidP="0084524E">
                  <w:pPr>
                    <w:jc w:val="center"/>
                    <w:rPr>
                      <w:rFonts w:ascii="Arial" w:hAnsi="Arial" w:cs="Arial"/>
                      <w:sz w:val="15"/>
                      <w:szCs w:val="15"/>
                    </w:rPr>
                  </w:pPr>
                  <w:r w:rsidRPr="002E1A0A">
                    <w:rPr>
                      <w:rFonts w:ascii="Arial" w:hAnsi="Arial" w:cs="Arial"/>
                      <w:sz w:val="15"/>
                      <w:szCs w:val="15"/>
                    </w:rPr>
                    <w:t>Coordenador CVPAF/ Gerente Geral GGGAF</w:t>
                  </w:r>
                </w:p>
              </w:tc>
              <w:tc>
                <w:tcPr>
                  <w:tcW w:w="563" w:type="pct"/>
                  <w:tcBorders>
                    <w:top w:val="nil"/>
                    <w:left w:val="nil"/>
                    <w:bottom w:val="double" w:sz="6"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Diretor DIGES</w:t>
                  </w:r>
                </w:p>
              </w:tc>
              <w:tc>
                <w:tcPr>
                  <w:tcW w:w="634" w:type="pct"/>
                  <w:gridSpan w:val="4"/>
                  <w:tcBorders>
                    <w:top w:val="nil"/>
                    <w:left w:val="nil"/>
                    <w:bottom w:val="double" w:sz="6" w:space="0" w:color="auto"/>
                    <w:right w:val="single" w:sz="4" w:space="0" w:color="auto"/>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Diretor Presidente</w:t>
                  </w:r>
                </w:p>
              </w:tc>
              <w:tc>
                <w:tcPr>
                  <w:tcW w:w="492" w:type="pct"/>
                  <w:gridSpan w:val="2"/>
                  <w:tcBorders>
                    <w:top w:val="nil"/>
                    <w:left w:val="nil"/>
                    <w:bottom w:val="double" w:sz="6" w:space="0" w:color="auto"/>
                    <w:right w:val="single" w:sz="4" w:space="0" w:color="auto"/>
                  </w:tcBorders>
                  <w:vAlign w:val="center"/>
                  <w:hideMark/>
                </w:tcPr>
                <w:p w:rsidR="00D926DE" w:rsidRPr="002E1A0A" w:rsidRDefault="00D926DE" w:rsidP="0084524E">
                  <w:pPr>
                    <w:jc w:val="center"/>
                    <w:rPr>
                      <w:rFonts w:ascii="Arial" w:hAnsi="Arial" w:cs="Arial"/>
                      <w:sz w:val="15"/>
                      <w:szCs w:val="15"/>
                    </w:rPr>
                  </w:pPr>
                  <w:r w:rsidRPr="002E1A0A">
                    <w:rPr>
                      <w:rFonts w:ascii="Arial" w:hAnsi="Arial" w:cs="Arial"/>
                      <w:sz w:val="15"/>
                      <w:szCs w:val="15"/>
                    </w:rPr>
                    <w:t>Diretor DIGES</w:t>
                  </w:r>
                </w:p>
              </w:tc>
              <w:tc>
                <w:tcPr>
                  <w:tcW w:w="485" w:type="pct"/>
                  <w:tcBorders>
                    <w:top w:val="nil"/>
                    <w:left w:val="nil"/>
                    <w:bottom w:val="double" w:sz="6" w:space="0" w:color="auto"/>
                    <w:right w:val="nil"/>
                  </w:tcBorders>
                  <w:vAlign w:val="center"/>
                  <w:hideMark/>
                </w:tcPr>
                <w:p w:rsidR="00D926DE" w:rsidRPr="002E1A0A" w:rsidRDefault="00D926DE" w:rsidP="0084524E">
                  <w:pPr>
                    <w:jc w:val="center"/>
                    <w:rPr>
                      <w:rFonts w:ascii="Arial" w:hAnsi="Arial" w:cs="Arial"/>
                      <w:color w:val="000000"/>
                      <w:sz w:val="15"/>
                      <w:szCs w:val="15"/>
                    </w:rPr>
                  </w:pPr>
                  <w:r w:rsidRPr="002E1A0A">
                    <w:rPr>
                      <w:rFonts w:ascii="Arial" w:hAnsi="Arial" w:cs="Arial"/>
                      <w:color w:val="000000"/>
                      <w:sz w:val="15"/>
                      <w:szCs w:val="15"/>
                    </w:rPr>
                    <w:t>Decreto 7689/12; Portaria/GM/MS 1.338/</w:t>
                  </w:r>
                  <w:proofErr w:type="gramStart"/>
                  <w:r w:rsidRPr="002E1A0A">
                    <w:rPr>
                      <w:rFonts w:ascii="Arial" w:hAnsi="Arial" w:cs="Arial"/>
                      <w:color w:val="000000"/>
                      <w:sz w:val="15"/>
                      <w:szCs w:val="15"/>
                    </w:rPr>
                    <w:t>12</w:t>
                  </w:r>
                  <w:proofErr w:type="gramEnd"/>
                </w:p>
              </w:tc>
            </w:tr>
            <w:tr w:rsidR="00D926DE" w:rsidRPr="002E1A0A" w:rsidTr="00D926DE">
              <w:trPr>
                <w:gridAfter w:val="5"/>
                <w:divId w:val="331639225"/>
                <w:wAfter w:w="1110" w:type="pct"/>
                <w:trHeight w:val="20"/>
                <w:jc w:val="center"/>
              </w:trPr>
              <w:tc>
                <w:tcPr>
                  <w:tcW w:w="3804" w:type="pct"/>
                  <w:gridSpan w:val="7"/>
                  <w:tcBorders>
                    <w:top w:val="nil"/>
                    <w:left w:val="nil"/>
                    <w:right w:val="nil"/>
                  </w:tcBorders>
                  <w:noWrap/>
                  <w:vAlign w:val="bottom"/>
                  <w:hideMark/>
                </w:tcPr>
                <w:p w:rsidR="00E41A99" w:rsidRDefault="00E41A99" w:rsidP="00E41A99">
                  <w:pPr>
                    <w:pStyle w:val="PargrafodaLista"/>
                    <w:ind w:left="284"/>
                    <w:jc w:val="both"/>
                    <w:rPr>
                      <w:rFonts w:ascii="Arial" w:hAnsi="Arial" w:cs="Arial"/>
                      <w:color w:val="000000"/>
                      <w:sz w:val="15"/>
                      <w:szCs w:val="15"/>
                    </w:rPr>
                  </w:pPr>
                </w:p>
                <w:p w:rsidR="00D926DE" w:rsidRPr="002E1A0A" w:rsidRDefault="00D926DE" w:rsidP="0084524E">
                  <w:pPr>
                    <w:pStyle w:val="PargrafodaLista"/>
                    <w:numPr>
                      <w:ilvl w:val="0"/>
                      <w:numId w:val="2"/>
                    </w:numPr>
                    <w:ind w:left="284" w:hanging="284"/>
                    <w:jc w:val="both"/>
                    <w:rPr>
                      <w:rFonts w:ascii="Arial" w:hAnsi="Arial" w:cs="Arial"/>
                      <w:color w:val="000000"/>
                      <w:sz w:val="15"/>
                      <w:szCs w:val="15"/>
                    </w:rPr>
                  </w:pPr>
                  <w:r w:rsidRPr="002E1A0A">
                    <w:rPr>
                      <w:rFonts w:ascii="Arial" w:hAnsi="Arial" w:cs="Arial"/>
                      <w:color w:val="000000"/>
                      <w:sz w:val="15"/>
                      <w:szCs w:val="15"/>
                    </w:rPr>
                    <w:t>A ratificação aplica-se nos casos previstos no art. 26 da Lei 8666/93.</w:t>
                  </w:r>
                </w:p>
              </w:tc>
              <w:tc>
                <w:tcPr>
                  <w:tcW w:w="86" w:type="pct"/>
                  <w:vMerge w:val="restart"/>
                  <w:tcBorders>
                    <w:top w:val="nil"/>
                    <w:left w:val="nil"/>
                    <w:right w:val="nil"/>
                  </w:tcBorders>
                  <w:noWrap/>
                  <w:vAlign w:val="bottom"/>
                  <w:hideMark/>
                </w:tcPr>
                <w:p w:rsidR="00D926DE" w:rsidRPr="002E1A0A" w:rsidRDefault="00D926DE" w:rsidP="0084524E">
                  <w:pPr>
                    <w:rPr>
                      <w:rFonts w:ascii="Arial" w:hAnsi="Arial" w:cs="Arial"/>
                      <w:color w:val="000000"/>
                      <w:sz w:val="15"/>
                      <w:szCs w:val="15"/>
                    </w:rPr>
                  </w:pPr>
                </w:p>
              </w:tc>
            </w:tr>
            <w:tr w:rsidR="00D926DE" w:rsidRPr="002E1A0A" w:rsidTr="00D926DE">
              <w:trPr>
                <w:gridAfter w:val="5"/>
                <w:divId w:val="331639225"/>
                <w:wAfter w:w="1110" w:type="pct"/>
                <w:trHeight w:val="20"/>
                <w:jc w:val="center"/>
              </w:trPr>
              <w:tc>
                <w:tcPr>
                  <w:tcW w:w="3804" w:type="pct"/>
                  <w:gridSpan w:val="7"/>
                  <w:tcBorders>
                    <w:left w:val="nil"/>
                    <w:right w:val="nil"/>
                  </w:tcBorders>
                  <w:noWrap/>
                  <w:vAlign w:val="bottom"/>
                </w:tcPr>
                <w:p w:rsidR="00D926DE" w:rsidRPr="002E1A0A" w:rsidRDefault="00D926DE" w:rsidP="00E41A99">
                  <w:pPr>
                    <w:pStyle w:val="PargrafodaLista"/>
                    <w:numPr>
                      <w:ilvl w:val="0"/>
                      <w:numId w:val="2"/>
                    </w:numPr>
                    <w:ind w:left="284" w:hanging="284"/>
                    <w:jc w:val="both"/>
                    <w:rPr>
                      <w:rFonts w:ascii="Arial" w:hAnsi="Arial" w:cs="Arial"/>
                      <w:color w:val="000000"/>
                      <w:sz w:val="15"/>
                      <w:szCs w:val="15"/>
                    </w:rPr>
                  </w:pPr>
                  <w:r w:rsidRPr="002E1A0A">
                    <w:rPr>
                      <w:rFonts w:ascii="Arial" w:hAnsi="Arial" w:cs="Arial"/>
                      <w:color w:val="000000"/>
                      <w:sz w:val="15"/>
                      <w:szCs w:val="15"/>
                    </w:rPr>
                    <w:t>Para as contratações que traduzam patrocínio institucional, estas estarão condicionadas à aprovação prévia</w:t>
                  </w:r>
                  <w:r w:rsidR="00E41A99">
                    <w:rPr>
                      <w:rFonts w:ascii="Arial" w:hAnsi="Arial" w:cs="Arial"/>
                      <w:color w:val="000000"/>
                      <w:sz w:val="15"/>
                      <w:szCs w:val="15"/>
                    </w:rPr>
                    <w:t xml:space="preserve"> </w:t>
                  </w:r>
                  <w:r w:rsidRPr="002E1A0A">
                    <w:rPr>
                      <w:rFonts w:ascii="Arial" w:hAnsi="Arial" w:cs="Arial"/>
                      <w:color w:val="000000"/>
                      <w:sz w:val="15"/>
                      <w:szCs w:val="15"/>
                    </w:rPr>
                    <w:lastRenderedPageBreak/>
                    <w:t>pela Diretoria Colegiada da ANVISA, independentemente do seu valor. Para locação de bens imóveis, dever-se-á obedecer ao que dispõe o art. 4º do Decreto</w:t>
                  </w:r>
                  <w:r w:rsidRPr="002E1A0A">
                    <w:rPr>
                      <w:rFonts w:ascii="Arial" w:hAnsi="Arial" w:cs="Arial"/>
                      <w:sz w:val="15"/>
                      <w:szCs w:val="15"/>
                    </w:rPr>
                    <w:t xml:space="preserve"> nº</w:t>
                  </w:r>
                  <w:r w:rsidRPr="002E1A0A">
                    <w:rPr>
                      <w:rFonts w:ascii="Arial" w:hAnsi="Arial" w:cs="Arial"/>
                      <w:color w:val="000000"/>
                      <w:sz w:val="15"/>
                      <w:szCs w:val="15"/>
                    </w:rPr>
                    <w:t xml:space="preserve"> 7.689/12 e o art. 7º da Portaria GM/MS nº 1.338/12.  </w:t>
                  </w:r>
                </w:p>
              </w:tc>
              <w:tc>
                <w:tcPr>
                  <w:tcW w:w="86" w:type="pct"/>
                  <w:vMerge/>
                  <w:tcBorders>
                    <w:left w:val="nil"/>
                    <w:right w:val="nil"/>
                  </w:tcBorders>
                  <w:noWrap/>
                  <w:vAlign w:val="bottom"/>
                </w:tcPr>
                <w:p w:rsidR="00D926DE" w:rsidRPr="002E1A0A" w:rsidRDefault="00D926DE" w:rsidP="0084524E">
                  <w:pPr>
                    <w:rPr>
                      <w:rFonts w:ascii="Arial" w:hAnsi="Arial" w:cs="Arial"/>
                      <w:color w:val="000000"/>
                      <w:sz w:val="15"/>
                      <w:szCs w:val="15"/>
                    </w:rPr>
                  </w:pPr>
                </w:p>
              </w:tc>
            </w:tr>
            <w:tr w:rsidR="00D926DE" w:rsidRPr="002E1A0A" w:rsidTr="00D926DE">
              <w:trPr>
                <w:gridAfter w:val="5"/>
                <w:divId w:val="331639225"/>
                <w:wAfter w:w="1110" w:type="pct"/>
                <w:trHeight w:val="20"/>
                <w:jc w:val="center"/>
              </w:trPr>
              <w:tc>
                <w:tcPr>
                  <w:tcW w:w="3804" w:type="pct"/>
                  <w:gridSpan w:val="7"/>
                  <w:tcBorders>
                    <w:left w:val="nil"/>
                    <w:right w:val="nil"/>
                  </w:tcBorders>
                  <w:noWrap/>
                  <w:vAlign w:val="bottom"/>
                </w:tcPr>
                <w:p w:rsidR="00D926DE" w:rsidRPr="002E1A0A" w:rsidRDefault="00D926DE" w:rsidP="0084524E">
                  <w:pPr>
                    <w:pStyle w:val="PargrafodaLista"/>
                    <w:numPr>
                      <w:ilvl w:val="0"/>
                      <w:numId w:val="2"/>
                    </w:numPr>
                    <w:ind w:left="284" w:hanging="284"/>
                    <w:jc w:val="both"/>
                    <w:rPr>
                      <w:rFonts w:ascii="Arial" w:hAnsi="Arial" w:cs="Arial"/>
                      <w:color w:val="000000"/>
                      <w:sz w:val="15"/>
                      <w:szCs w:val="15"/>
                    </w:rPr>
                  </w:pPr>
                  <w:r w:rsidRPr="002E1A0A">
                    <w:rPr>
                      <w:rFonts w:ascii="Arial" w:hAnsi="Arial" w:cs="Arial"/>
                      <w:color w:val="000000"/>
                      <w:sz w:val="15"/>
                      <w:szCs w:val="15"/>
                    </w:rPr>
                    <w:lastRenderedPageBreak/>
                    <w:t>Situação exclusiva para inexigibilidade de licitaçã</w:t>
                  </w:r>
                  <w:r w:rsidRPr="002E1A0A">
                    <w:rPr>
                      <w:rFonts w:ascii="Arial" w:hAnsi="Arial" w:cs="Arial"/>
                      <w:i/>
                      <w:color w:val="000000"/>
                      <w:sz w:val="15"/>
                      <w:szCs w:val="15"/>
                    </w:rPr>
                    <w:t>o.</w:t>
                  </w:r>
                </w:p>
              </w:tc>
              <w:tc>
                <w:tcPr>
                  <w:tcW w:w="86" w:type="pct"/>
                  <w:vMerge/>
                  <w:tcBorders>
                    <w:left w:val="nil"/>
                    <w:right w:val="nil"/>
                  </w:tcBorders>
                  <w:noWrap/>
                  <w:vAlign w:val="bottom"/>
                </w:tcPr>
                <w:p w:rsidR="00D926DE" w:rsidRPr="002E1A0A" w:rsidRDefault="00D926DE" w:rsidP="0084524E">
                  <w:pPr>
                    <w:rPr>
                      <w:rFonts w:ascii="Arial" w:hAnsi="Arial" w:cs="Arial"/>
                      <w:color w:val="000000"/>
                      <w:sz w:val="15"/>
                      <w:szCs w:val="15"/>
                    </w:rPr>
                  </w:pPr>
                </w:p>
              </w:tc>
            </w:tr>
            <w:tr w:rsidR="00D926DE" w:rsidRPr="002E1A0A" w:rsidTr="00D926DE">
              <w:trPr>
                <w:gridAfter w:val="5"/>
                <w:divId w:val="331639225"/>
                <w:wAfter w:w="1110" w:type="pct"/>
                <w:trHeight w:val="20"/>
                <w:jc w:val="center"/>
              </w:trPr>
              <w:tc>
                <w:tcPr>
                  <w:tcW w:w="3804" w:type="pct"/>
                  <w:gridSpan w:val="7"/>
                  <w:tcBorders>
                    <w:left w:val="nil"/>
                    <w:right w:val="nil"/>
                  </w:tcBorders>
                  <w:noWrap/>
                  <w:vAlign w:val="bottom"/>
                </w:tcPr>
                <w:p w:rsidR="00D926DE" w:rsidRPr="002E1A0A" w:rsidRDefault="00D926DE" w:rsidP="0084524E">
                  <w:pPr>
                    <w:pStyle w:val="PargrafodaLista"/>
                    <w:numPr>
                      <w:ilvl w:val="0"/>
                      <w:numId w:val="2"/>
                    </w:numPr>
                    <w:ind w:left="284" w:hanging="284"/>
                    <w:jc w:val="both"/>
                    <w:rPr>
                      <w:rFonts w:ascii="Arial" w:hAnsi="Arial" w:cs="Arial"/>
                      <w:strike/>
                      <w:color w:val="000000"/>
                      <w:sz w:val="15"/>
                      <w:szCs w:val="15"/>
                    </w:rPr>
                  </w:pPr>
                  <w:r w:rsidRPr="002E1A0A">
                    <w:rPr>
                      <w:rFonts w:ascii="Arial" w:hAnsi="Arial" w:cs="Arial"/>
                      <w:strike/>
                      <w:sz w:val="15"/>
                      <w:szCs w:val="15"/>
                    </w:rPr>
                    <w:t>Ministro de Estado da Saúde – Refere-se à autorização</w:t>
                  </w:r>
                </w:p>
              </w:tc>
              <w:tc>
                <w:tcPr>
                  <w:tcW w:w="86" w:type="pct"/>
                  <w:vMerge/>
                  <w:tcBorders>
                    <w:left w:val="nil"/>
                    <w:right w:val="nil"/>
                  </w:tcBorders>
                  <w:noWrap/>
                  <w:vAlign w:val="bottom"/>
                </w:tcPr>
                <w:p w:rsidR="00D926DE" w:rsidRPr="002E1A0A" w:rsidRDefault="00D926DE" w:rsidP="0084524E">
                  <w:pPr>
                    <w:rPr>
                      <w:rFonts w:ascii="Arial" w:hAnsi="Arial" w:cs="Arial"/>
                      <w:color w:val="000000"/>
                      <w:sz w:val="15"/>
                      <w:szCs w:val="15"/>
                    </w:rPr>
                  </w:pPr>
                </w:p>
              </w:tc>
            </w:tr>
            <w:tr w:rsidR="00D926DE" w:rsidRPr="002E1A0A" w:rsidTr="00D926DE">
              <w:trPr>
                <w:gridAfter w:val="5"/>
                <w:divId w:val="331639225"/>
                <w:wAfter w:w="1110" w:type="pct"/>
                <w:trHeight w:val="285"/>
                <w:jc w:val="center"/>
              </w:trPr>
              <w:tc>
                <w:tcPr>
                  <w:tcW w:w="3804" w:type="pct"/>
                  <w:gridSpan w:val="7"/>
                  <w:tcBorders>
                    <w:left w:val="nil"/>
                    <w:bottom w:val="nil"/>
                    <w:right w:val="nil"/>
                  </w:tcBorders>
                  <w:noWrap/>
                  <w:vAlign w:val="bottom"/>
                </w:tcPr>
                <w:p w:rsidR="00E979FA" w:rsidRPr="00E979FA" w:rsidRDefault="00D926DE" w:rsidP="00E979FA">
                  <w:pPr>
                    <w:pStyle w:val="PargrafodaLista"/>
                    <w:numPr>
                      <w:ilvl w:val="0"/>
                      <w:numId w:val="2"/>
                    </w:numPr>
                    <w:ind w:left="284" w:hanging="284"/>
                    <w:jc w:val="both"/>
                    <w:rPr>
                      <w:rFonts w:ascii="Arial" w:hAnsi="Arial" w:cs="Arial"/>
                      <w:color w:val="000000"/>
                      <w:sz w:val="15"/>
                      <w:szCs w:val="15"/>
                    </w:rPr>
                  </w:pPr>
                  <w:r w:rsidRPr="002E1A0A">
                    <w:rPr>
                      <w:rFonts w:ascii="Arial" w:hAnsi="Arial" w:cs="Arial"/>
                      <w:sz w:val="15"/>
                      <w:szCs w:val="15"/>
                    </w:rPr>
                    <w:t xml:space="preserve"> </w:t>
                  </w:r>
                  <w:proofErr w:type="gramStart"/>
                  <w:r w:rsidRPr="002E1A0A">
                    <w:rPr>
                      <w:rFonts w:ascii="Arial" w:hAnsi="Arial" w:cs="Arial"/>
                      <w:strike/>
                      <w:sz w:val="15"/>
                      <w:szCs w:val="15"/>
                    </w:rPr>
                    <w:t>para</w:t>
                  </w:r>
                  <w:proofErr w:type="gramEnd"/>
                  <w:r w:rsidRPr="002E1A0A">
                    <w:rPr>
                      <w:rFonts w:ascii="Arial" w:hAnsi="Arial" w:cs="Arial"/>
                      <w:strike/>
                      <w:sz w:val="15"/>
                      <w:szCs w:val="15"/>
                    </w:rPr>
                    <w:t xml:space="preserve"> nova contratação ou prorrogações contratuais, nos termos do § 1º do art. 2º do Decreto n</w:t>
                  </w:r>
                  <w:r w:rsidR="00E979FA">
                    <w:rPr>
                      <w:rFonts w:ascii="Arial" w:hAnsi="Arial" w:cs="Arial"/>
                      <w:strike/>
                      <w:sz w:val="15"/>
                      <w:szCs w:val="15"/>
                    </w:rPr>
                    <w:t>?</w:t>
                  </w:r>
                  <w:r w:rsidRPr="002E1A0A">
                    <w:rPr>
                      <w:rFonts w:ascii="Arial" w:hAnsi="Arial" w:cs="Arial"/>
                      <w:strike/>
                      <w:sz w:val="15"/>
                      <w:szCs w:val="15"/>
                    </w:rPr>
                    <w:t xml:space="preserve"> 7.689/12 e o art. 3</w:t>
                  </w:r>
                  <w:r w:rsidR="00E979FA">
                    <w:rPr>
                      <w:rFonts w:ascii="Arial" w:hAnsi="Arial" w:cs="Arial"/>
                      <w:strike/>
                      <w:sz w:val="15"/>
                      <w:szCs w:val="15"/>
                    </w:rPr>
                    <w:t>?</w:t>
                  </w:r>
                  <w:r w:rsidRPr="002E1A0A">
                    <w:rPr>
                      <w:rFonts w:ascii="Arial" w:hAnsi="Arial" w:cs="Arial"/>
                      <w:strike/>
                      <w:sz w:val="15"/>
                      <w:szCs w:val="15"/>
                    </w:rPr>
                    <w:t xml:space="preserve"> </w:t>
                  </w:r>
                  <w:proofErr w:type="gramStart"/>
                  <w:r w:rsidRPr="002E1A0A">
                    <w:rPr>
                      <w:rFonts w:ascii="Arial" w:hAnsi="Arial" w:cs="Arial"/>
                      <w:strike/>
                      <w:color w:val="000000"/>
                      <w:sz w:val="15"/>
                      <w:szCs w:val="15"/>
                    </w:rPr>
                    <w:t>da</w:t>
                  </w:r>
                  <w:proofErr w:type="gramEnd"/>
                  <w:r w:rsidRPr="002E1A0A">
                    <w:rPr>
                      <w:rFonts w:ascii="Arial" w:hAnsi="Arial" w:cs="Arial"/>
                      <w:strike/>
                      <w:color w:val="000000"/>
                      <w:sz w:val="15"/>
                      <w:szCs w:val="15"/>
                    </w:rPr>
                    <w:t xml:space="preserve"> Portaria GM/MS n</w:t>
                  </w:r>
                  <w:r w:rsidR="00E979FA">
                    <w:rPr>
                      <w:rFonts w:ascii="Arial" w:hAnsi="Arial" w:cs="Arial"/>
                      <w:strike/>
                      <w:color w:val="000000"/>
                      <w:sz w:val="15"/>
                      <w:szCs w:val="15"/>
                    </w:rPr>
                    <w:t>?</w:t>
                  </w:r>
                  <w:r w:rsidRPr="002E1A0A">
                    <w:rPr>
                      <w:rFonts w:ascii="Arial" w:hAnsi="Arial" w:cs="Arial"/>
                      <w:strike/>
                      <w:color w:val="000000"/>
                      <w:sz w:val="15"/>
                      <w:szCs w:val="15"/>
                    </w:rPr>
                    <w:t xml:space="preserve"> 1.338/12</w:t>
                  </w:r>
                  <w:r w:rsidRPr="002E1A0A">
                    <w:rPr>
                      <w:rFonts w:ascii="Arial" w:hAnsi="Arial" w:cs="Arial"/>
                      <w:strike/>
                      <w:sz w:val="15"/>
                      <w:szCs w:val="15"/>
                    </w:rPr>
                    <w:t>.</w:t>
                  </w:r>
                </w:p>
                <w:p w:rsidR="007B1463" w:rsidRPr="00E979FA" w:rsidRDefault="007B1463" w:rsidP="00E979FA">
                  <w:pPr>
                    <w:jc w:val="both"/>
                    <w:rPr>
                      <w:rFonts w:ascii="Arial" w:hAnsi="Arial" w:cs="Arial"/>
                      <w:color w:val="000000"/>
                      <w:sz w:val="15"/>
                      <w:szCs w:val="15"/>
                    </w:rPr>
                  </w:pPr>
                  <w:r w:rsidRPr="00E979FA">
                    <w:rPr>
                      <w:rFonts w:ascii="Arial" w:hAnsi="Arial" w:cs="Arial"/>
                      <w:sz w:val="15"/>
                      <w:szCs w:val="15"/>
                    </w:rPr>
                    <w:t>(4) Ministro de Estado da Saúde - Refere-se à autorização</w:t>
                  </w:r>
                  <w:r w:rsidR="00E979FA" w:rsidRPr="00E979FA">
                    <w:rPr>
                      <w:rFonts w:ascii="Arial" w:hAnsi="Arial" w:cs="Arial"/>
                      <w:sz w:val="15"/>
                      <w:szCs w:val="15"/>
                    </w:rPr>
                    <w:t xml:space="preserve"> </w:t>
                  </w:r>
                  <w:r w:rsidRPr="00E979FA">
                    <w:rPr>
                      <w:rFonts w:ascii="Arial" w:hAnsi="Arial" w:cs="Arial"/>
                      <w:sz w:val="15"/>
                      <w:szCs w:val="15"/>
                    </w:rPr>
                    <w:t>para nova contratação ou prorrogações contratuais,</w:t>
                  </w:r>
                  <w:r w:rsidR="00E979FA" w:rsidRPr="00E979FA">
                    <w:rPr>
                      <w:rFonts w:ascii="Arial" w:hAnsi="Arial" w:cs="Arial"/>
                      <w:sz w:val="15"/>
                      <w:szCs w:val="15"/>
                    </w:rPr>
                    <w:t xml:space="preserve"> </w:t>
                  </w:r>
                  <w:r w:rsidRPr="00E979FA">
                    <w:rPr>
                      <w:rFonts w:ascii="Arial" w:hAnsi="Arial" w:cs="Arial"/>
                      <w:sz w:val="15"/>
                      <w:szCs w:val="15"/>
                    </w:rPr>
                    <w:t>nos termos do §1°</w:t>
                  </w:r>
                  <w:r w:rsidR="00E979FA" w:rsidRPr="00E979FA">
                    <w:rPr>
                      <w:rFonts w:ascii="Arial" w:hAnsi="Arial" w:cs="Arial"/>
                      <w:sz w:val="15"/>
                      <w:szCs w:val="15"/>
                    </w:rPr>
                    <w:t xml:space="preserve"> </w:t>
                  </w:r>
                  <w:r w:rsidRPr="00E979FA">
                    <w:rPr>
                      <w:rFonts w:ascii="Arial" w:hAnsi="Arial" w:cs="Arial"/>
                      <w:sz w:val="15"/>
                      <w:szCs w:val="15"/>
                    </w:rPr>
                    <w:t xml:space="preserve">do art. 2° do Decreto n? 7.689/12 e o art. 3? </w:t>
                  </w:r>
                  <w:proofErr w:type="gramStart"/>
                  <w:r w:rsidRPr="00E979FA">
                    <w:rPr>
                      <w:rFonts w:ascii="Arial" w:hAnsi="Arial" w:cs="Arial"/>
                      <w:sz w:val="15"/>
                      <w:szCs w:val="15"/>
                    </w:rPr>
                    <w:t>da</w:t>
                  </w:r>
                  <w:proofErr w:type="gramEnd"/>
                  <w:r w:rsidRPr="00E979FA">
                    <w:rPr>
                      <w:rFonts w:ascii="Arial" w:hAnsi="Arial" w:cs="Arial"/>
                      <w:sz w:val="15"/>
                      <w:szCs w:val="15"/>
                    </w:rPr>
                    <w:t xml:space="preserve"> Portaria GM/MS n?</w:t>
                  </w:r>
                  <w:r w:rsidR="00E979FA" w:rsidRPr="00E979FA">
                    <w:rPr>
                      <w:rFonts w:ascii="Arial" w:hAnsi="Arial" w:cs="Arial"/>
                      <w:sz w:val="15"/>
                      <w:szCs w:val="15"/>
                    </w:rPr>
                    <w:t xml:space="preserve"> </w:t>
                  </w:r>
                  <w:r w:rsidRPr="00E979FA">
                    <w:rPr>
                      <w:rFonts w:ascii="Arial" w:hAnsi="Arial" w:cs="Arial"/>
                      <w:sz w:val="15"/>
                      <w:szCs w:val="15"/>
                    </w:rPr>
                    <w:t>1.338/12."</w:t>
                  </w:r>
                </w:p>
              </w:tc>
              <w:tc>
                <w:tcPr>
                  <w:tcW w:w="86" w:type="pct"/>
                  <w:vMerge/>
                  <w:tcBorders>
                    <w:left w:val="nil"/>
                    <w:bottom w:val="nil"/>
                    <w:right w:val="nil"/>
                  </w:tcBorders>
                  <w:noWrap/>
                  <w:vAlign w:val="bottom"/>
                </w:tcPr>
                <w:p w:rsidR="00D926DE" w:rsidRPr="002E1A0A" w:rsidRDefault="00D926DE" w:rsidP="0084524E">
                  <w:pPr>
                    <w:rPr>
                      <w:rFonts w:ascii="Arial" w:hAnsi="Arial" w:cs="Arial"/>
                      <w:color w:val="000000"/>
                      <w:sz w:val="15"/>
                      <w:szCs w:val="15"/>
                    </w:rPr>
                  </w:pPr>
                </w:p>
              </w:tc>
            </w:tr>
          </w:tbl>
          <w:p w:rsidR="00D926DE" w:rsidRPr="002973D7" w:rsidRDefault="00D926DE" w:rsidP="00D926DE">
            <w:pPr>
              <w:spacing w:before="150" w:beforeAutospacing="0" w:after="300" w:afterAutospacing="0"/>
              <w:ind w:left="150" w:right="150"/>
              <w:jc w:val="center"/>
              <w:divId w:val="331639225"/>
              <w:rPr>
                <w:rFonts w:ascii="Arial" w:hAnsi="Arial" w:cs="Arial"/>
                <w:color w:val="000000"/>
                <w:sz w:val="16"/>
                <w:szCs w:val="16"/>
              </w:rPr>
            </w:pPr>
          </w:p>
        </w:tc>
        <w:tc>
          <w:tcPr>
            <w:tcW w:w="43" w:type="pct"/>
            <w:vMerge w:val="restart"/>
            <w:tcBorders>
              <w:left w:val="nil"/>
              <w:right w:val="nil"/>
            </w:tcBorders>
            <w:noWrap/>
            <w:vAlign w:val="bottom"/>
          </w:tcPr>
          <w:p w:rsidR="00456CFA" w:rsidRPr="002973D7" w:rsidRDefault="00456CFA" w:rsidP="000155D0">
            <w:pPr>
              <w:rPr>
                <w:rFonts w:ascii="Arial" w:hAnsi="Arial" w:cs="Arial"/>
                <w:color w:val="000000"/>
                <w:sz w:val="16"/>
                <w:szCs w:val="16"/>
              </w:rPr>
            </w:pPr>
          </w:p>
        </w:tc>
      </w:tr>
      <w:tr w:rsidR="00456CFA" w:rsidRPr="002973D7" w:rsidTr="00D926DE">
        <w:trPr>
          <w:divId w:val="331639225"/>
          <w:trHeight w:val="20"/>
          <w:jc w:val="center"/>
        </w:trPr>
        <w:tc>
          <w:tcPr>
            <w:tcW w:w="4957" w:type="pct"/>
            <w:tcBorders>
              <w:left w:val="nil"/>
              <w:right w:val="nil"/>
            </w:tcBorders>
            <w:noWrap/>
            <w:vAlign w:val="bottom"/>
          </w:tcPr>
          <w:p w:rsidR="00456CFA" w:rsidRPr="002973D7" w:rsidRDefault="00456CFA" w:rsidP="00456CFA">
            <w:pPr>
              <w:pStyle w:val="PargrafodaLista"/>
              <w:numPr>
                <w:ilvl w:val="0"/>
                <w:numId w:val="2"/>
              </w:numPr>
              <w:ind w:left="284" w:hanging="284"/>
              <w:jc w:val="both"/>
              <w:rPr>
                <w:rFonts w:ascii="Arial" w:hAnsi="Arial" w:cs="Arial"/>
                <w:color w:val="000000"/>
                <w:sz w:val="16"/>
                <w:szCs w:val="16"/>
              </w:rPr>
            </w:pPr>
          </w:p>
        </w:tc>
        <w:tc>
          <w:tcPr>
            <w:tcW w:w="43" w:type="pct"/>
            <w:vMerge/>
            <w:tcBorders>
              <w:left w:val="nil"/>
              <w:right w:val="nil"/>
            </w:tcBorders>
            <w:noWrap/>
            <w:vAlign w:val="bottom"/>
          </w:tcPr>
          <w:p w:rsidR="00456CFA" w:rsidRPr="002973D7" w:rsidRDefault="00456CFA" w:rsidP="000155D0">
            <w:pPr>
              <w:rPr>
                <w:rFonts w:ascii="Arial" w:hAnsi="Arial" w:cs="Arial"/>
                <w:color w:val="000000"/>
                <w:sz w:val="16"/>
                <w:szCs w:val="16"/>
              </w:rPr>
            </w:pPr>
          </w:p>
        </w:tc>
      </w:tr>
      <w:tr w:rsidR="00456CFA" w:rsidRPr="002973D7" w:rsidTr="00D926DE">
        <w:trPr>
          <w:divId w:val="331639225"/>
          <w:trHeight w:val="285"/>
          <w:jc w:val="center"/>
        </w:trPr>
        <w:tc>
          <w:tcPr>
            <w:tcW w:w="4957" w:type="pct"/>
            <w:tcBorders>
              <w:left w:val="nil"/>
              <w:bottom w:val="nil"/>
              <w:right w:val="nil"/>
            </w:tcBorders>
            <w:noWrap/>
            <w:vAlign w:val="bottom"/>
          </w:tcPr>
          <w:p w:rsidR="00456CFA" w:rsidRPr="002973D7" w:rsidRDefault="00456CFA" w:rsidP="00456CFA">
            <w:pPr>
              <w:pStyle w:val="PargrafodaLista"/>
              <w:numPr>
                <w:ilvl w:val="0"/>
                <w:numId w:val="2"/>
              </w:numPr>
              <w:ind w:left="284" w:hanging="284"/>
              <w:jc w:val="both"/>
              <w:rPr>
                <w:rFonts w:ascii="Arial" w:hAnsi="Arial" w:cs="Arial"/>
                <w:color w:val="000000"/>
                <w:sz w:val="16"/>
                <w:szCs w:val="16"/>
              </w:rPr>
            </w:pPr>
          </w:p>
        </w:tc>
        <w:tc>
          <w:tcPr>
            <w:tcW w:w="43" w:type="pct"/>
            <w:vMerge/>
            <w:tcBorders>
              <w:left w:val="nil"/>
              <w:bottom w:val="nil"/>
              <w:right w:val="nil"/>
            </w:tcBorders>
            <w:noWrap/>
            <w:vAlign w:val="bottom"/>
          </w:tcPr>
          <w:p w:rsidR="00456CFA" w:rsidRPr="002973D7" w:rsidRDefault="00456CFA" w:rsidP="000155D0">
            <w:pPr>
              <w:rPr>
                <w:rFonts w:ascii="Arial" w:hAnsi="Arial" w:cs="Arial"/>
                <w:color w:val="000000"/>
                <w:sz w:val="16"/>
                <w:szCs w:val="16"/>
              </w:rPr>
            </w:pPr>
          </w:p>
        </w:tc>
      </w:tr>
    </w:tbl>
    <w:p w:rsidR="00D926DE" w:rsidRDefault="00D926DE" w:rsidP="00456CFA">
      <w:pPr>
        <w:pStyle w:val="Ttulo2"/>
        <w:jc w:val="left"/>
        <w:divId w:val="331639225"/>
        <w:rPr>
          <w:rFonts w:ascii="Times New Roman" w:hAnsi="Times New Roman" w:cs="Times New Roman"/>
          <w:b w:val="0"/>
          <w:bCs w:val="0"/>
          <w:color w:val="003366"/>
          <w:sz w:val="24"/>
          <w:szCs w:val="24"/>
        </w:rPr>
      </w:pPr>
    </w:p>
    <w:p w:rsidR="00D926DE" w:rsidRDefault="00D926DE" w:rsidP="00456CFA">
      <w:pPr>
        <w:pStyle w:val="Ttulo2"/>
        <w:jc w:val="left"/>
        <w:divId w:val="331639225"/>
        <w:rPr>
          <w:rFonts w:ascii="Times New Roman" w:hAnsi="Times New Roman" w:cs="Times New Roman"/>
          <w:b w:val="0"/>
          <w:bCs w:val="0"/>
          <w:color w:val="003366"/>
          <w:sz w:val="24"/>
          <w:szCs w:val="24"/>
        </w:rPr>
      </w:pPr>
    </w:p>
    <w:sectPr w:rsidR="00D926DE" w:rsidSect="00D926DE">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519" w:rsidRDefault="003B1519" w:rsidP="003B1519">
      <w:pPr>
        <w:spacing w:before="0" w:after="0"/>
      </w:pPr>
      <w:r>
        <w:separator/>
      </w:r>
    </w:p>
  </w:endnote>
  <w:endnote w:type="continuationSeparator" w:id="0">
    <w:p w:rsidR="003B1519" w:rsidRDefault="003B1519" w:rsidP="003B151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Arial">
    <w:altName w:val=" 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519" w:rsidRPr="003B1519" w:rsidRDefault="003B1519" w:rsidP="003B1519">
    <w:pPr>
      <w:tabs>
        <w:tab w:val="center" w:pos="4252"/>
        <w:tab w:val="right" w:pos="8504"/>
      </w:tabs>
      <w:spacing w:before="0" w:beforeAutospacing="0" w:after="0" w:afterAutospacing="0"/>
      <w:jc w:val="center"/>
      <w:rPr>
        <w:rFonts w:asciiTheme="minorHAnsi" w:eastAsiaTheme="minorHAnsi" w:hAnsiTheme="minorHAnsi" w:cstheme="minorBidi"/>
        <w:sz w:val="22"/>
        <w:szCs w:val="22"/>
        <w:lang w:eastAsia="en-US"/>
      </w:rPr>
    </w:pPr>
    <w:r w:rsidRPr="003B1519">
      <w:rPr>
        <w:rFonts w:asciiTheme="minorHAnsi" w:eastAsiaTheme="minorHAnsi" w:hAnsiTheme="minorHAnsi" w:cstheme="minorBidi"/>
        <w:color w:val="943634" w:themeColor="accent2" w:themeShade="BF"/>
        <w:sz w:val="22"/>
        <w:szCs w:val="22"/>
        <w:lang w:eastAsia="en-US"/>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519" w:rsidRDefault="003B1519" w:rsidP="003B1519">
      <w:pPr>
        <w:spacing w:before="0" w:after="0"/>
      </w:pPr>
      <w:r>
        <w:separator/>
      </w:r>
    </w:p>
  </w:footnote>
  <w:footnote w:type="continuationSeparator" w:id="0">
    <w:p w:rsidR="003B1519" w:rsidRDefault="003B1519" w:rsidP="003B151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519" w:rsidRPr="003B1519" w:rsidRDefault="003B1519" w:rsidP="003B1519">
    <w:pPr>
      <w:tabs>
        <w:tab w:val="center" w:pos="4252"/>
        <w:tab w:val="right" w:pos="8504"/>
      </w:tabs>
      <w:spacing w:before="0" w:beforeAutospacing="0" w:after="0" w:afterAutospacing="0"/>
      <w:jc w:val="center"/>
      <w:rPr>
        <w:rFonts w:asciiTheme="minorHAnsi" w:eastAsiaTheme="minorHAnsi" w:hAnsiTheme="minorHAnsi" w:cstheme="minorBidi"/>
        <w:sz w:val="22"/>
        <w:szCs w:val="22"/>
        <w:lang w:eastAsia="en-US"/>
      </w:rPr>
    </w:pPr>
    <w:r w:rsidRPr="003B1519">
      <w:rPr>
        <w:rFonts w:asciiTheme="minorHAnsi" w:eastAsiaTheme="minorHAnsi" w:hAnsiTheme="minorHAnsi" w:cstheme="minorBidi"/>
        <w:noProof/>
        <w:sz w:val="22"/>
        <w:szCs w:val="22"/>
      </w:rPr>
      <w:drawing>
        <wp:inline distT="0" distB="0" distL="0" distR="0" wp14:anchorId="56E73789" wp14:editId="7F4A7123">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3B1519" w:rsidRPr="003B1519" w:rsidRDefault="003B1519" w:rsidP="003B1519">
    <w:pPr>
      <w:tabs>
        <w:tab w:val="center" w:pos="4252"/>
        <w:tab w:val="right" w:pos="8504"/>
      </w:tabs>
      <w:spacing w:before="0" w:beforeAutospacing="0" w:after="0" w:afterAutospacing="0"/>
      <w:jc w:val="center"/>
      <w:rPr>
        <w:rFonts w:asciiTheme="minorHAnsi" w:eastAsiaTheme="minorHAnsi" w:hAnsiTheme="minorHAnsi" w:cstheme="minorBidi"/>
        <w:b/>
        <w:szCs w:val="22"/>
        <w:lang w:eastAsia="en-US"/>
      </w:rPr>
    </w:pPr>
    <w:r w:rsidRPr="003B1519">
      <w:rPr>
        <w:rFonts w:asciiTheme="minorHAnsi" w:eastAsiaTheme="minorHAnsi" w:hAnsiTheme="minorHAnsi" w:cstheme="minorBidi"/>
        <w:b/>
        <w:szCs w:val="22"/>
        <w:lang w:eastAsia="en-US"/>
      </w:rPr>
      <w:t>Ministério da Saúde - MS</w:t>
    </w:r>
  </w:p>
  <w:p w:rsidR="003B1519" w:rsidRDefault="003B1519" w:rsidP="003B1519">
    <w:pPr>
      <w:tabs>
        <w:tab w:val="center" w:pos="4252"/>
        <w:tab w:val="right" w:pos="8504"/>
      </w:tabs>
      <w:spacing w:before="0" w:beforeAutospacing="0" w:after="0" w:afterAutospacing="0"/>
      <w:jc w:val="center"/>
      <w:rPr>
        <w:rFonts w:asciiTheme="minorHAnsi" w:eastAsiaTheme="minorHAnsi" w:hAnsiTheme="minorHAnsi" w:cstheme="minorBidi"/>
        <w:b/>
        <w:szCs w:val="22"/>
        <w:lang w:eastAsia="en-US"/>
      </w:rPr>
    </w:pPr>
    <w:r w:rsidRPr="003B1519">
      <w:rPr>
        <w:rFonts w:asciiTheme="minorHAnsi" w:eastAsiaTheme="minorHAnsi" w:hAnsiTheme="minorHAnsi" w:cstheme="minorBidi"/>
        <w:b/>
        <w:szCs w:val="22"/>
        <w:lang w:eastAsia="en-US"/>
      </w:rPr>
      <w:t xml:space="preserve">Agência Nacional de Vigilância Sanitária </w:t>
    </w:r>
    <w:r>
      <w:rPr>
        <w:rFonts w:asciiTheme="minorHAnsi" w:eastAsiaTheme="minorHAnsi" w:hAnsiTheme="minorHAnsi" w:cstheme="minorBidi"/>
        <w:b/>
        <w:szCs w:val="22"/>
        <w:lang w:eastAsia="en-US"/>
      </w:rPr>
      <w:t>–</w:t>
    </w:r>
    <w:r w:rsidRPr="003B1519">
      <w:rPr>
        <w:rFonts w:asciiTheme="minorHAnsi" w:eastAsiaTheme="minorHAnsi" w:hAnsiTheme="minorHAnsi" w:cstheme="minorBidi"/>
        <w:b/>
        <w:szCs w:val="22"/>
        <w:lang w:eastAsia="en-US"/>
      </w:rPr>
      <w:t xml:space="preserve"> ANVISA</w:t>
    </w:r>
  </w:p>
  <w:p w:rsidR="003B1519" w:rsidRPr="003B1519" w:rsidRDefault="003B1519" w:rsidP="003B1519">
    <w:pPr>
      <w:tabs>
        <w:tab w:val="center" w:pos="4252"/>
        <w:tab w:val="right" w:pos="8504"/>
      </w:tabs>
      <w:spacing w:before="0" w:beforeAutospacing="0" w:after="0" w:afterAutospacing="0"/>
      <w:jc w:val="center"/>
      <w:rPr>
        <w:rFonts w:asciiTheme="minorHAnsi" w:eastAsiaTheme="minorHAnsi" w:hAnsiTheme="minorHAnsi" w:cstheme="minorBidi"/>
        <w:b/>
        <w:szCs w:val="22"/>
        <w:lang w:eastAsia="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DEC99"/>
    <w:multiLevelType w:val="hybridMultilevel"/>
    <w:tmpl w:val="956332FA"/>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6C042F95"/>
    <w:multiLevelType w:val="hybridMultilevel"/>
    <w:tmpl w:val="61D83276"/>
    <w:lvl w:ilvl="0" w:tplc="E19E08E6">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AC0"/>
    <w:rsid w:val="0001431D"/>
    <w:rsid w:val="000155D0"/>
    <w:rsid w:val="00074AC0"/>
    <w:rsid w:val="000834AC"/>
    <w:rsid w:val="000B439D"/>
    <w:rsid w:val="000C2183"/>
    <w:rsid w:val="000F7751"/>
    <w:rsid w:val="00124E55"/>
    <w:rsid w:val="0014087A"/>
    <w:rsid w:val="001423F4"/>
    <w:rsid w:val="001C1077"/>
    <w:rsid w:val="001E1914"/>
    <w:rsid w:val="002049E2"/>
    <w:rsid w:val="00207B9E"/>
    <w:rsid w:val="00261F32"/>
    <w:rsid w:val="002753FE"/>
    <w:rsid w:val="002973D7"/>
    <w:rsid w:val="002A6BAF"/>
    <w:rsid w:val="002D4040"/>
    <w:rsid w:val="002E1A0A"/>
    <w:rsid w:val="003B1519"/>
    <w:rsid w:val="003D6DC5"/>
    <w:rsid w:val="003E353F"/>
    <w:rsid w:val="00456CFA"/>
    <w:rsid w:val="004F460E"/>
    <w:rsid w:val="00524060"/>
    <w:rsid w:val="00542469"/>
    <w:rsid w:val="0054412B"/>
    <w:rsid w:val="005B31BB"/>
    <w:rsid w:val="005C6A09"/>
    <w:rsid w:val="005D13BD"/>
    <w:rsid w:val="0062219A"/>
    <w:rsid w:val="006263D0"/>
    <w:rsid w:val="0064503A"/>
    <w:rsid w:val="00647873"/>
    <w:rsid w:val="00652E8A"/>
    <w:rsid w:val="00673936"/>
    <w:rsid w:val="00673FE9"/>
    <w:rsid w:val="006E77D9"/>
    <w:rsid w:val="00714B44"/>
    <w:rsid w:val="00725666"/>
    <w:rsid w:val="00771958"/>
    <w:rsid w:val="007A2033"/>
    <w:rsid w:val="007B1463"/>
    <w:rsid w:val="0084524E"/>
    <w:rsid w:val="00886CBB"/>
    <w:rsid w:val="00897D7D"/>
    <w:rsid w:val="008A5B8F"/>
    <w:rsid w:val="008B7BC0"/>
    <w:rsid w:val="008C0579"/>
    <w:rsid w:val="008D770F"/>
    <w:rsid w:val="0094325F"/>
    <w:rsid w:val="009855A0"/>
    <w:rsid w:val="009A56C4"/>
    <w:rsid w:val="009C4153"/>
    <w:rsid w:val="009D4C4B"/>
    <w:rsid w:val="009F4005"/>
    <w:rsid w:val="00A145B0"/>
    <w:rsid w:val="00A53197"/>
    <w:rsid w:val="00A6189B"/>
    <w:rsid w:val="00AF43E7"/>
    <w:rsid w:val="00AF4EA2"/>
    <w:rsid w:val="00B61E39"/>
    <w:rsid w:val="00B66501"/>
    <w:rsid w:val="00B67BF3"/>
    <w:rsid w:val="00B77F73"/>
    <w:rsid w:val="00BA1692"/>
    <w:rsid w:val="00BC017B"/>
    <w:rsid w:val="00BD2134"/>
    <w:rsid w:val="00C5066C"/>
    <w:rsid w:val="00C95A0B"/>
    <w:rsid w:val="00CD6FA8"/>
    <w:rsid w:val="00CF7D08"/>
    <w:rsid w:val="00D824BC"/>
    <w:rsid w:val="00D926DE"/>
    <w:rsid w:val="00DF7C19"/>
    <w:rsid w:val="00E30878"/>
    <w:rsid w:val="00E34233"/>
    <w:rsid w:val="00E41A99"/>
    <w:rsid w:val="00E51D0C"/>
    <w:rsid w:val="00E979FA"/>
    <w:rsid w:val="00EB0C3E"/>
    <w:rsid w:val="00EC6226"/>
    <w:rsid w:val="00ED08EE"/>
    <w:rsid w:val="00F15702"/>
    <w:rsid w:val="00F32AED"/>
    <w:rsid w:val="00F4347F"/>
    <w:rsid w:val="00F5330F"/>
    <w:rsid w:val="00F626EE"/>
    <w:rsid w:val="00FD3B19"/>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customStyle="1" w:styleId="Default">
    <w:name w:val="Default"/>
    <w:rsid w:val="00725666"/>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456CFA"/>
    <w:pPr>
      <w:spacing w:before="0" w:beforeAutospacing="0" w:after="0" w:afterAutospacing="0"/>
      <w:ind w:left="720"/>
      <w:contextualSpacing/>
    </w:pPr>
    <w:rPr>
      <w:rFonts w:eastAsia="Times New Roman"/>
    </w:rPr>
  </w:style>
  <w:style w:type="paragraph" w:styleId="Cabealho">
    <w:name w:val="header"/>
    <w:basedOn w:val="Normal"/>
    <w:link w:val="CabealhoChar"/>
    <w:uiPriority w:val="99"/>
    <w:unhideWhenUsed/>
    <w:rsid w:val="003B1519"/>
    <w:pPr>
      <w:tabs>
        <w:tab w:val="center" w:pos="4252"/>
        <w:tab w:val="right" w:pos="8504"/>
      </w:tabs>
      <w:spacing w:before="0" w:after="0"/>
    </w:pPr>
  </w:style>
  <w:style w:type="character" w:customStyle="1" w:styleId="CabealhoChar">
    <w:name w:val="Cabeçalho Char"/>
    <w:basedOn w:val="Fontepargpadro"/>
    <w:link w:val="Cabealho"/>
    <w:uiPriority w:val="99"/>
    <w:rsid w:val="003B1519"/>
    <w:rPr>
      <w:rFonts w:eastAsiaTheme="minorEastAsia"/>
      <w:sz w:val="24"/>
      <w:szCs w:val="24"/>
    </w:rPr>
  </w:style>
  <w:style w:type="paragraph" w:styleId="Rodap">
    <w:name w:val="footer"/>
    <w:basedOn w:val="Normal"/>
    <w:link w:val="RodapChar"/>
    <w:uiPriority w:val="99"/>
    <w:unhideWhenUsed/>
    <w:rsid w:val="003B1519"/>
    <w:pPr>
      <w:tabs>
        <w:tab w:val="center" w:pos="4252"/>
        <w:tab w:val="right" w:pos="8504"/>
      </w:tabs>
      <w:spacing w:before="0" w:after="0"/>
    </w:pPr>
  </w:style>
  <w:style w:type="character" w:customStyle="1" w:styleId="RodapChar">
    <w:name w:val="Rodapé Char"/>
    <w:basedOn w:val="Fontepargpadro"/>
    <w:link w:val="Rodap"/>
    <w:uiPriority w:val="99"/>
    <w:rsid w:val="003B1519"/>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customStyle="1" w:styleId="Default">
    <w:name w:val="Default"/>
    <w:rsid w:val="00725666"/>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456CFA"/>
    <w:pPr>
      <w:spacing w:before="0" w:beforeAutospacing="0" w:after="0" w:afterAutospacing="0"/>
      <w:ind w:left="720"/>
      <w:contextualSpacing/>
    </w:pPr>
    <w:rPr>
      <w:rFonts w:eastAsia="Times New Roman"/>
    </w:rPr>
  </w:style>
  <w:style w:type="paragraph" w:styleId="Cabealho">
    <w:name w:val="header"/>
    <w:basedOn w:val="Normal"/>
    <w:link w:val="CabealhoChar"/>
    <w:uiPriority w:val="99"/>
    <w:unhideWhenUsed/>
    <w:rsid w:val="003B1519"/>
    <w:pPr>
      <w:tabs>
        <w:tab w:val="center" w:pos="4252"/>
        <w:tab w:val="right" w:pos="8504"/>
      </w:tabs>
      <w:spacing w:before="0" w:after="0"/>
    </w:pPr>
  </w:style>
  <w:style w:type="character" w:customStyle="1" w:styleId="CabealhoChar">
    <w:name w:val="Cabeçalho Char"/>
    <w:basedOn w:val="Fontepargpadro"/>
    <w:link w:val="Cabealho"/>
    <w:uiPriority w:val="99"/>
    <w:rsid w:val="003B1519"/>
    <w:rPr>
      <w:rFonts w:eastAsiaTheme="minorEastAsia"/>
      <w:sz w:val="24"/>
      <w:szCs w:val="24"/>
    </w:rPr>
  </w:style>
  <w:style w:type="paragraph" w:styleId="Rodap">
    <w:name w:val="footer"/>
    <w:basedOn w:val="Normal"/>
    <w:link w:val="RodapChar"/>
    <w:uiPriority w:val="99"/>
    <w:unhideWhenUsed/>
    <w:rsid w:val="003B1519"/>
    <w:pPr>
      <w:tabs>
        <w:tab w:val="center" w:pos="4252"/>
        <w:tab w:val="right" w:pos="8504"/>
      </w:tabs>
      <w:spacing w:before="0" w:after="0"/>
    </w:pPr>
  </w:style>
  <w:style w:type="character" w:customStyle="1" w:styleId="RodapChar">
    <w:name w:val="Rodapé Char"/>
    <w:basedOn w:val="Fontepargpadro"/>
    <w:link w:val="Rodap"/>
    <w:uiPriority w:val="99"/>
    <w:rsid w:val="003B151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639227">
      <w:marLeft w:val="150"/>
      <w:marRight w:val="150"/>
      <w:marTop w:val="150"/>
      <w:marBottom w:val="0"/>
      <w:divBdr>
        <w:top w:val="none" w:sz="0" w:space="0" w:color="auto"/>
        <w:left w:val="none" w:sz="0" w:space="0" w:color="auto"/>
        <w:bottom w:val="none" w:sz="0" w:space="0" w:color="auto"/>
        <w:right w:val="none" w:sz="0" w:space="0" w:color="auto"/>
      </w:divBdr>
      <w:divsChild>
        <w:div w:id="331639226">
          <w:marLeft w:val="0"/>
          <w:marRight w:val="0"/>
          <w:marTop w:val="0"/>
          <w:marBottom w:val="0"/>
          <w:divBdr>
            <w:top w:val="none" w:sz="0" w:space="0" w:color="auto"/>
            <w:left w:val="none" w:sz="0" w:space="0" w:color="auto"/>
            <w:bottom w:val="none" w:sz="0" w:space="0" w:color="auto"/>
            <w:right w:val="none" w:sz="0" w:space="0" w:color="auto"/>
          </w:divBdr>
          <w:divsChild>
            <w:div w:id="331639225">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1334B3-EEAD-4F28-8D2E-AD3D08E1E1C6}">
  <ds:schemaRefs>
    <ds:schemaRef ds:uri="http://schemas.openxmlformats.org/officeDocument/2006/bibliography"/>
  </ds:schemaRefs>
</ds:datastoreItem>
</file>

<file path=customXml/itemProps2.xml><?xml version="1.0" encoding="utf-8"?>
<ds:datastoreItem xmlns:ds="http://schemas.openxmlformats.org/officeDocument/2006/customXml" ds:itemID="{BA1C8114-81B9-4832-B7F2-CBB1BFAD5709}"/>
</file>

<file path=customXml/itemProps3.xml><?xml version="1.0" encoding="utf-8"?>
<ds:datastoreItem xmlns:ds="http://schemas.openxmlformats.org/officeDocument/2006/customXml" ds:itemID="{5F7CBBF1-4020-420C-B3FF-A90807FF02B3}"/>
</file>

<file path=customXml/itemProps4.xml><?xml version="1.0" encoding="utf-8"?>
<ds:datastoreItem xmlns:ds="http://schemas.openxmlformats.org/officeDocument/2006/customXml" ds:itemID="{C3435330-0EC7-49A3-ADE8-E132D89B6CE9}"/>
</file>

<file path=docProps/app.xml><?xml version="1.0" encoding="utf-8"?>
<Properties xmlns="http://schemas.openxmlformats.org/officeDocument/2006/extended-properties" xmlns:vt="http://schemas.openxmlformats.org/officeDocument/2006/docPropsVTypes">
  <Template>Normal</Template>
  <TotalTime>0</TotalTime>
  <Pages>8</Pages>
  <Words>2601</Words>
  <Characters>14049</Characters>
  <Application>Microsoft Office Word</Application>
  <DocSecurity>4</DocSecurity>
  <Lines>117</Lines>
  <Paragraphs>33</Paragraphs>
  <ScaleCrop>false</ScaleCrop>
  <HeadingPairs>
    <vt:vector size="2" baseType="variant">
      <vt:variant>
        <vt:lpstr>Título</vt:lpstr>
      </vt:variant>
      <vt:variant>
        <vt:i4>1</vt:i4>
      </vt:variant>
    </vt:vector>
  </HeadingPairs>
  <TitlesOfParts>
    <vt:vector size="1" baseType="lpstr">
      <vt:lpstr>Ministério da Saúde</vt:lpstr>
    </vt:vector>
  </TitlesOfParts>
  <Company>ANVISA</Company>
  <LinksUpToDate>false</LinksUpToDate>
  <CharactersWithSpaces>16617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creator>Pablo Rafael Tavares Pereira</dc:creator>
  <cp:lastModifiedBy>Raianne Liberal Coutinho</cp:lastModifiedBy>
  <cp:revision>2</cp:revision>
  <cp:lastPrinted>2016-06-27T19:27:00Z</cp:lastPrinted>
  <dcterms:created xsi:type="dcterms:W3CDTF">2016-06-27T19:27:00Z</dcterms:created>
  <dcterms:modified xsi:type="dcterms:W3CDTF">2016-06-27T19:27:00Z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