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A600CF" w:rsidRDefault="00C32972" w:rsidP="00C329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0CF">
        <w:rPr>
          <w:rFonts w:ascii="Times New Roman" w:hAnsi="Times New Roman" w:cs="Times New Roman"/>
          <w:b/>
          <w:sz w:val="24"/>
          <w:szCs w:val="24"/>
        </w:rPr>
        <w:t>PORTARIA – PRT Nº 379</w:t>
      </w:r>
      <w:r w:rsidR="00201A89">
        <w:rPr>
          <w:rFonts w:ascii="Times New Roman" w:hAnsi="Times New Roman" w:cs="Times New Roman"/>
          <w:b/>
          <w:sz w:val="24"/>
          <w:szCs w:val="24"/>
        </w:rPr>
        <w:t>,</w:t>
      </w:r>
      <w:r w:rsidRPr="00A600CF">
        <w:rPr>
          <w:rFonts w:ascii="Times New Roman" w:hAnsi="Times New Roman" w:cs="Times New Roman"/>
          <w:b/>
          <w:sz w:val="24"/>
          <w:szCs w:val="24"/>
        </w:rPr>
        <w:t xml:space="preserve"> DE 26 DE ABRIL DE </w:t>
      </w:r>
      <w:proofErr w:type="gramStart"/>
      <w:r w:rsidRPr="00A600CF">
        <w:rPr>
          <w:rFonts w:ascii="Times New Roman" w:hAnsi="Times New Roman" w:cs="Times New Roman"/>
          <w:b/>
          <w:sz w:val="24"/>
          <w:szCs w:val="24"/>
        </w:rPr>
        <w:t>1999</w:t>
      </w:r>
      <w:proofErr w:type="gramEnd"/>
    </w:p>
    <w:p w:rsidR="00C32972" w:rsidRPr="00A600CF" w:rsidRDefault="00C32972" w:rsidP="00C3297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00C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80-E, de 29 de abril de 1999</w:t>
      </w:r>
      <w:proofErr w:type="gramStart"/>
      <w:r w:rsidRPr="00A600C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679EE" w:rsidRPr="00A600CF" w:rsidRDefault="009679EE" w:rsidP="00C3297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600CF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266, de 22 de setembro de 2005</w:t>
      </w:r>
      <w:proofErr w:type="gramStart"/>
      <w:r w:rsidRPr="00A600C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32972" w:rsidRPr="00A600CF" w:rsidRDefault="00C32972" w:rsidP="00C329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A600C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Secretário de Vigilância Sanitária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do Ministério da Saúde, no uso de suas atribuições legais e considerando a necessidade de constante aperfeiçoamento das ações de controle sanitário na área de alimentos visando a proteção à saúde da população e da necessidade de fixar a identidade e as características mínimas de qualidade a que devem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 o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Gelados Comestíveis, Preparados, Pós para o Preparo e Bases para Gelados Comestíveis, resolve: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Art.1º Aprovar o Regulamento Técnico referente a Gelados Comestíveis, Preparados, Pós para o Preparo e Bases para Gelados Comestíveis, constante do anexo desta Portaria.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Art.2º As empresas têm o prazo de 180 (cento é oitenta) dias, a contar da data da publicação deste Regulamento, para se adequarem ao mesmo.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Art.3º O descumprimento desta Portaria constitui infração sanitária sujeitando os infratores às penalidades da Lei nº 6.437, de 20 de agosto de 1977 e demais disposições aplicáveis.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Art.4º Esta Portaria entrará em vigor na data de sua publicação, revogadas as disposições em contrário, em especial, o item referente a Gelados Comestíveis, Preparados, Pós para o Preparo e Bases para Gelados Comestíveis da Resolução Normativa nº 4/78 - Câmara Técnica de Alimentos do Conselho Nacional da Saúde e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item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referente a mistura ou pó para sorvete, letra d, da Resolução n</w:t>
      </w:r>
      <w:r w:rsidR="00E1100B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12/78 da Comissão Nacional de Normas e Padrões para Alimentos.</w:t>
      </w:r>
    </w:p>
    <w:p w:rsidR="009A5DE7" w:rsidRPr="00A600CF" w:rsidRDefault="009A5DE7" w:rsidP="00A600C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9A5DE7" w:rsidRPr="00A600CF" w:rsidRDefault="00A600CF" w:rsidP="00A600C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9A5DE7" w:rsidRPr="00A600CF" w:rsidRDefault="009A5DE7" w:rsidP="00A600C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Regulamento Técnico para Fixação de Identidade e Qualidade de Gelados Comestíveis, Preparados, Pós para o Preparo e Bases para Gelados </w:t>
      </w:r>
      <w:proofErr w:type="gramStart"/>
      <w:r w:rsidRPr="00A600C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Comestíveis</w:t>
      </w:r>
      <w:proofErr w:type="gramEnd"/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ALCANCE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1.1. Objetivo. Fixar a identidade e as características mínimas de qualidade a que devem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 os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Gelados Comestíveis, pré-embalados ou não e os Preparados, Pós para o Preparo e Bases para Gelados Comestíveis.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1.2. Âmbito de Aplicação: Aplica-se aos Gelados Comestíveis, Preparados, Pós para o Preparo e Bases para Gelados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Comestíveis ,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conforme definido no item 2.1.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DESCRIÇÃO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Definições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2.1.1. Gelados Comestíveis: são produtos alimentícios obtidos a partir de uma emulsão de gorduras e proteínas, com ou sem adição de outros ingredientes e substâncias, ou de uma mistura de água, açúcares e outros ingredientes e substâncias que tenham sido submetidas ao congelamento, em condições tais que garantam a conservação do produto no estado congelado ou parcialmente congelado, durante a armazenagem, o transporte e a entrega ao consumo, classificados conforme o item 2.2..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2.1.2. Preparados para Gelados Comestíveis: são os produtos líquidos que contém todos os ingredientes necessários em quantidades tais que, quando submetidos ao congelamento, o alimento resultante obedeça a uma das classificações previstas no item 2.2..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2.1.3. Pós para o Preparo de Gelados Comestíveis: são os produtos constituídos por uma mistura de pós de vários ingredientes e aditivos, destinados ao preparo de gelados comestíveis pela adição de água e ou leite, que resultem em um produto que atenda a uma das classificações previstas no item 2.2..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2.1.4. Bases para Gelados Comestíveis: são os produtos constituídos de estabilizantes e ou emulsionantes e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espessantes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conter outros aditivos e ingredientes necessários à obtenção de um produto que atenda a uma das classificações previstas no item 2.2., mediante a adição de água e/ou leite e outros ingredientes necessários à obtenção do produto final.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Classificação</w:t>
      </w:r>
    </w:p>
    <w:p w:rsidR="009A5DE7" w:rsidRPr="00A600CF" w:rsidRDefault="00A600CF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2.2.1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Quanto </w:t>
      </w:r>
      <w:proofErr w:type="gramStart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composição básica, conforme prevista no </w:t>
      </w:r>
      <w: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2.2.1.1. Sorvetes de creme: são os produtos elaborados basicamente com leite e ou derivados lácteos e ou gorduras comestíveis,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ser adicionado de outros ingredientes alimentares.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2.2.1.2. Sorvetes de leite: são os produtos elaborados basicamente com leite e ou derivados lácteos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ser adicionado de outros ingredientes alimentares.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2.2.1.3. Sorvetes: são os produtos elaborados basicamente com leite e ou derivados lácteos e ou outras matérias primas alimentares e nos quais os teores de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gordura e ou proteína são total ou parcialmente de origem não láctea,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ser adicionado de outros ingredientes alimentares.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2.2.1.4.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Sherbets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: são os produtos elaborados basicamente com leite e ou derivados lácteos e ou outras matérias primas alimentares e que contém apenas uma pequena proporção de gorduras e proteínas as quais podem ser total ou parcialmente de origem não láctea,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ser adicionados de outros ingredientes alimentares.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2.2.1.5. Gelados de frutas ou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Sorbets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: são produtos elaborados basicamente com polpas, sucos ou pedaços de frutas e açúcares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ser adicionado de outros ingredientes alimentares.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2.2.1.6. Gelados: são os produtos elaborados basicamente com açúcares, podendo ou não conter polpas, sucos, pedaços de frutas e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outros matérias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primas,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podendo ser adicionado de outros ingredientes alimentares.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2.2.2. Quanto ao processo de fabricação e apresentação: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2.2.2.1. Sorvetes de massa ou cremosos: são misturas homogêneas ou não de ingredientes alimentares, batidas e resfriadas até o congelamento, resultando em massa aerada.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2.2.2.2. Picolés: são porções individuais de gelados comestíveis de várias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composições ,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geralmente suportadas por uma haste, obtidas por resfriamento até congelamento da mistura homogênea ou não, de ingredientes alimentares, com ou sem batimento.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2.2.2.3. Produtos especiais gelados: são os gelados mistos constituídos por qualquer das modalidades de gelados comestíveis relacionados neste Regulamento, em combinação com alimentos não gelados, representados por porções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situadas interna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externamente ao conjunto, tais como: Sanduíche de sorvete, bolo de sorvete, torta gelada.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Designação; são designados de acordo com a sua classificação, composição, substância que o caracteriza, tipo, nome tradicional consagrado pelo uso e ou sua forma de apresentação.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2.3.1. Os produtos definidos nos itens 2.1.2. , 2.1.3.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2.1.4.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serão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designados respectivamente como : preparados para gelados comestíveis, pós para o preparo de gelados comestíveis, bases para gelados comestíveis , seguido da classificação, composição, substância que o caracteriza, tipo, nome tradicional consagrado pelo uso e ou sua forma de apresentação.</w:t>
      </w:r>
    </w:p>
    <w:p w:rsidR="004A5A3F" w:rsidRDefault="004A5A3F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 REFERÊNCIAS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3.1. ARGENTINA.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Helados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y Polvos Para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Preparlos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Código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Alimentario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Argentino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Actualizado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Capitulo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XII,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pág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352, 1997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BRASIL. Resolução Normativa nº 4 de 1978. Padrão de Identidade e Qualidade para Gelados Comestíveis. Diário Oficial da União, Brasília, 20 de setembro, Seção 1, parte 1.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3.3. CODEX ALIMENTARIUS.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Codex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Satn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137-1981.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Edible Ices and Ice Mixes.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Abridged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Miscellaneous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Standards,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divison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16,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pág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16.4, 1989.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3.4. INSTITUTO DEL GELATO ITALIANO.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Codice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Autodisciplina por i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Prodotti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delia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Gelateriale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Roma, 1994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3.5. URUGUAI. Decreto 315/994 de 14 de </w:t>
      </w:r>
      <w:proofErr w:type="spellStart"/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julio</w:t>
      </w:r>
      <w:proofErr w:type="spellEnd"/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1994. Capitulo 18 -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Helados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Diario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Oficial, Montevideo, 14 de </w:t>
      </w:r>
      <w:proofErr w:type="spellStart"/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julio</w:t>
      </w:r>
      <w:proofErr w:type="spellEnd"/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1994,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pág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323.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COMPOSIÇÃO E REQUISITOS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Composição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Ingredientes Obrigatórios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4.1.1.1. Sorvetes de creme: leite e ou derivados lácteos e ou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outras gorduras comestíveis, conforme previsto no Anexo I.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4.1.1.2. Sorvetes de leite: le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 e ou derivados lácteos, con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4.1.1.3. Sorvetes: leite e ou derivados lácteos e ou outras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matérias primas alimentares nos quais os teores de gordura e ou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proteína são total ou parcialmente de origem não láctea, conforme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4.1.1.4.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Sherbets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leite e ou derivados lácteos e ou outras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matérias primas alimentares,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4.1.1.5. Gelados de frutas ou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Sorbets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 polpas e ou sucos e ou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pedaços de frutas e açúcares,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4.1.1.6. Gelados: açúcares e ou polpas e ou sucos e ou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pedaços de frutas, conforme previsto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 Ingredientes Opcionais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Leite, seus constituintes e ou derivados lácteos (gorduras,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proteínas) frescos, concentrados, em pó, fermentados, reconstituídos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ou "recombinados"; outras gorduras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óleos comestíveis; outras pro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teínas comestíveis; água potável; açúcares; frutas e produtos de frutas;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cacau cm pó e pr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odutos de cacau; ovos e seus derivados e outras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 alimentícias que- não descaracterizem o produto.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Requisitos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 Características sensoriais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4.2.1.1. Aspecto: característico do gelado comestível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4.2.1.2. Cor: característica do gelado comestível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4.2.1.3. Sabor: característico do gelado comestível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4.2.1.4. Odor: característico do gelado comestível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4.2.1.5. Textura: característica do gelado comestível</w:t>
      </w:r>
    </w:p>
    <w:p w:rsidR="00B06052" w:rsidRPr="00A600CF" w:rsidRDefault="00B06052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4.2.2. Características Físico-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Químicas e Químicas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Devem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obedecer os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parâmetros definidos no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 Condições de Conservação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Gelados Comestíve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 devem ser mantidos a uma temperatura máxima de -18 °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(no produto). Quando da exposição de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venda é tolerada a temperatura máxima de -12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°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(no produto). Nos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equipamentos para- venda ambulante, sem unidade de refrigeração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própria, é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tolerada temperatura máxima de -5 °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(no produto).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Requisitos de Composição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4.2.4.1. Os Gelados Comestíveis adicionados de ovos e seus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derivados, quando for apregoada esta condição, devem obedecer ao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disposto nas colunas 1.2, 2.2, e 3.2 do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4.2.4.2. As especificações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relativas à composição dos "Pro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dutos Especiais Gelados" aplicam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-se exclusivamente à parte cons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tituída pelos gelados comestíveis, sendo que a parte constituída pelos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 não gelados deve atender legislação 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Acondicionamento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 produto deve ser acondicionado em embalagens adequadas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às condições de transporte e armazenamento e que confiram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ao pro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 a proteção necessária.</w:t>
      </w:r>
    </w:p>
    <w:p w:rsidR="009A5DE7" w:rsidRPr="00A600CF" w:rsidRDefault="00B06052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Aditivos e Coadjuvantes de Tecnologia/elaboração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5.1.É permitida a utilização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aditivos intencionais e coad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juvantes de tecnologia conforme legislação 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produtos que contenham cacau ou seus derivados 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sejam denominados "de chocol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ate", conforme </w:t>
      </w:r>
      <w:r w:rsid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deste Re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gulamento, é proibida a utilização de aromas de cacau e chocolate.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produtos contendo ovo na sua designação não é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tolerada a presença de corantes amarelos.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Contaminantes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estar em consonância com os níveis toleráveis na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matéria-prima empregada, estabelecidos pela legislação 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Higiene</w:t>
      </w:r>
    </w:p>
    <w:p w:rsidR="00B33867" w:rsidRPr="00A600CF" w:rsidRDefault="009A5DE7" w:rsidP="00B3386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7.1. Considerações Gerais</w:t>
      </w:r>
      <w:r w:rsidR="00B3386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267, de 25 de setembro de 2003</w:t>
      </w:r>
      <w:proofErr w:type="gramStart"/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B33867" w:rsidRPr="00A600CF" w:rsidRDefault="009A5DE7" w:rsidP="00B3386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Gelados Comestíveis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os Preparados para Gelados Co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mestíveis elaborados com produtos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laticínios ou ovos devem pas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sar, obrigatoriamente, por tratamento térmico nas seguintes condições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mínimas:</w:t>
      </w:r>
      <w:r w:rsidR="00B3386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267, de 25 de setembro de 2003</w:t>
      </w:r>
      <w:proofErr w:type="gramStart"/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B33867" w:rsidRPr="00A600CF" w:rsidRDefault="009A5DE7" w:rsidP="00B3386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Processo contínuo: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80 °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por 25 segundos; ou</w:t>
      </w:r>
      <w:r w:rsidR="00B3386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267, de 25 de setembro de 2003</w:t>
      </w:r>
      <w:proofErr w:type="gramStart"/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B33867" w:rsidRPr="00A600CF" w:rsidRDefault="009A5DE7" w:rsidP="00B3386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Processo "batch": 70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°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por 30 minutos; ou</w:t>
      </w:r>
      <w:r w:rsidR="00B3386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267, de 25 de setembro de 2003</w:t>
      </w:r>
      <w:proofErr w:type="gramStart"/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B33867" w:rsidRPr="00A600CF" w:rsidRDefault="00B06052" w:rsidP="00B3386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Condições equivalentes (de tempo/temperatura) em poder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destruição de microrganismos patogênicos.</w:t>
      </w:r>
      <w:r w:rsidR="00B3386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267, de 25 de setembro de 2003</w:t>
      </w:r>
      <w:proofErr w:type="gramStart"/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obrigatorie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dade do tratamento térmico não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 aplica aos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outros ingredientes e aditivos util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izados no preparo de gelados co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mestíveis, desde que o produto final atenda aos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padrões microbio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lógicos previstos na legislação específica.</w:t>
      </w:r>
      <w:r w:rsidR="00B3386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(Revogado pela Resolução – RDC nº 267, de 25 de setembro de 2003</w:t>
      </w:r>
      <w:proofErr w:type="gramStart"/>
      <w:r w:rsidR="00B33867" w:rsidRPr="00A600CF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)</w:t>
      </w:r>
      <w:proofErr w:type="gramEnd"/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7.2. Critérios macroscópicos: Devem obedecer à legislação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7.3. Critérios microscópicos: Devem obedecer à legislação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7.4. Critérios microbiológicos: Devem obedecer à legislação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Pesos e Medidas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obedecer à legislação específica.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Rotulagem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obedecer à legislação específica.</w:t>
      </w:r>
    </w:p>
    <w:p w:rsidR="009A5DE7" w:rsidRPr="00A600CF" w:rsidRDefault="00B06052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MÉTODOS DE ANÁLISE/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AMOSTRAGEM</w:t>
      </w:r>
    </w:p>
    <w:p w:rsidR="009A5DE7" w:rsidRPr="00A600CF" w:rsidRDefault="009A5DE7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avaliação da identidade e qualidade deverá ser realizada de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acordo com os planos de amostra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 métodos de análise adotados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e/ou recomendados pela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Official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Analytical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Chemists</w:t>
      </w:r>
      <w:proofErr w:type="spellEnd"/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(AOAC), pela Organização Internac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ional de Normalização (ISO), pe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lo Instituto Adolfo Lutz, pelo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Food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Chemicals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pela American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Health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Association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(APHA), pelo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Bacteriological</w:t>
      </w:r>
      <w:proofErr w:type="spell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Analytical</w:t>
      </w:r>
      <w:proofErr w:type="spellEnd"/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Manual (BAM) e pela Comissão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 </w:t>
      </w:r>
      <w:proofErr w:type="spellStart"/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Codex</w:t>
      </w:r>
      <w:proofErr w:type="spellEnd"/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Alimentarius</w:t>
      </w:r>
      <w:proofErr w:type="spellEnd"/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co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mitês específicos, até que venham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 ser aprovados planos de amos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tragem e métodos de análises </w:t>
      </w:r>
      <w:r w:rsidR="00B06052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pelo 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Ministério da Saúde.</w:t>
      </w:r>
    </w:p>
    <w:p w:rsidR="00B06052" w:rsidRPr="00A600CF" w:rsidRDefault="00B06052" w:rsidP="009A5D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600CF" w:rsidRDefault="00A600CF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br w:type="page"/>
      </w:r>
    </w:p>
    <w:p w:rsidR="00A600CF" w:rsidRDefault="00A600CF" w:rsidP="00B0605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A600CF" w:rsidSect="00A600CF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6052" w:rsidRPr="00A600CF" w:rsidRDefault="00B06052" w:rsidP="00B0605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I</w:t>
      </w:r>
      <w:bookmarkStart w:id="0" w:name="_GoBack"/>
      <w:bookmarkEnd w:id="0"/>
    </w:p>
    <w:p w:rsidR="009A5DE7" w:rsidRPr="004A5A3F" w:rsidRDefault="00B06052" w:rsidP="004A5A3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4A5A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COMPOSIÇÃO (</w:t>
      </w:r>
      <w:r w:rsidR="009A5DE7" w:rsidRPr="004A5A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VALOR</w:t>
      </w:r>
      <w:r w:rsidRPr="004A5A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ES MÍNIMOS EM PERCENTAGEM, g/100</w:t>
      </w:r>
      <w:r w:rsidR="009A5DE7" w:rsidRPr="004A5A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g, DE PRODUTO FINAL</w:t>
      </w:r>
      <w:proofErr w:type="gramStart"/>
      <w:r w:rsidR="009A5DE7" w:rsidRPr="004A5A3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6"/>
        <w:gridCol w:w="637"/>
        <w:gridCol w:w="736"/>
        <w:gridCol w:w="1003"/>
        <w:gridCol w:w="655"/>
        <w:gridCol w:w="736"/>
        <w:gridCol w:w="1003"/>
        <w:gridCol w:w="576"/>
        <w:gridCol w:w="736"/>
        <w:gridCol w:w="1003"/>
        <w:gridCol w:w="1849"/>
        <w:gridCol w:w="1708"/>
        <w:gridCol w:w="1680"/>
      </w:tblGrid>
      <w:tr w:rsidR="00881208" w:rsidRPr="00A600CF" w:rsidTr="00FA0270">
        <w:tc>
          <w:tcPr>
            <w:tcW w:w="1844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255" w:type="dxa"/>
            <w:gridSpan w:val="3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  <w:p w:rsidR="00881208" w:rsidRPr="00A600CF" w:rsidRDefault="00201A89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SORVETES DE CREME (d</w:t>
            </w:r>
            <w:r w:rsidR="00881208"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35" w:type="dxa"/>
            <w:gridSpan w:val="3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SORVETES DE LEITE</w:t>
            </w:r>
          </w:p>
        </w:tc>
        <w:tc>
          <w:tcPr>
            <w:tcW w:w="2077" w:type="dxa"/>
            <w:gridSpan w:val="3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SORVETES</w:t>
            </w:r>
          </w:p>
        </w:tc>
        <w:tc>
          <w:tcPr>
            <w:tcW w:w="2008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</w:t>
            </w:r>
            <w:proofErr w:type="gramEnd"/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“SHERBETS”</w:t>
            </w:r>
          </w:p>
        </w:tc>
        <w:tc>
          <w:tcPr>
            <w:tcW w:w="1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GELADOS DE FRUTAS OU “SORBETS”</w:t>
            </w:r>
          </w:p>
        </w:tc>
        <w:tc>
          <w:tcPr>
            <w:tcW w:w="1918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</w:t>
            </w:r>
            <w:proofErr w:type="gramEnd"/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GELADOS</w:t>
            </w: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81" w:type="dxa"/>
            <w:tcBorders>
              <w:lef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555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3.3</w:t>
            </w:r>
          </w:p>
        </w:tc>
        <w:tc>
          <w:tcPr>
            <w:tcW w:w="2008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SÓLIDOS TOTAIS</w:t>
            </w:r>
          </w:p>
        </w:tc>
        <w:tc>
          <w:tcPr>
            <w:tcW w:w="681" w:type="dxa"/>
            <w:tcBorders>
              <w:lef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+ OVO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+ FRUTA</w:t>
            </w: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+ OVO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+ FRUTA</w:t>
            </w: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555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+ OVO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+ FRUTA</w:t>
            </w: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2008" w:type="dxa"/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1872" w:type="dxa"/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(e)</w:t>
            </w:r>
          </w:p>
        </w:tc>
        <w:tc>
          <w:tcPr>
            <w:tcW w:w="1929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81" w:type="dxa"/>
            <w:tcBorders>
              <w:lef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</w:t>
            </w: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GORDURA LÁCTEA</w:t>
            </w:r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</w:t>
            </w: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2,5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</w:t>
            </w: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TOTAL DE GORDURAS COMESTÍVEIS</w:t>
            </w:r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</w:t>
            </w: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PROTEÍNAS DE LEITE</w:t>
            </w:r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2,5 </w:t>
            </w: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2,5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(a) 2,5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OUTRAS PROTEÍNAS COMESTÍVEIS</w:t>
            </w:r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SÓLIDOS TOTAIS, GEMA DE OVO OU </w:t>
            </w: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EQUIVALENTE </w:t>
            </w: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DECLARADO</w:t>
            </w:r>
            <w:proofErr w:type="gramEnd"/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1,4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1,4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1,4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SÓLIDOS DE CACAU (c)</w:t>
            </w:r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0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72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3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650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81208" w:rsidRPr="00A600CF" w:rsidTr="00FA0270">
        <w:tc>
          <w:tcPr>
            <w:tcW w:w="1844" w:type="dxa"/>
            <w:tcBorders>
              <w:top w:val="single" w:sz="4" w:space="0" w:color="auto"/>
            </w:tcBorders>
          </w:tcPr>
          <w:p w:rsidR="00881208" w:rsidRPr="00A600CF" w:rsidRDefault="00881208" w:rsidP="00FA027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DENSIDADE APARENTE g/Litro (b)</w:t>
            </w:r>
          </w:p>
        </w:tc>
        <w:tc>
          <w:tcPr>
            <w:tcW w:w="681" w:type="dxa"/>
          </w:tcPr>
          <w:p w:rsidR="00881208" w:rsidRPr="00A600CF" w:rsidRDefault="0088120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702" w:type="dxa"/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872" w:type="dxa"/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713" w:type="dxa"/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650" w:type="dxa"/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208" w:rsidRPr="00A600CF" w:rsidRDefault="00881208" w:rsidP="00FA027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00C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</w:tr>
    </w:tbl>
    <w:p w:rsidR="009A5DE7" w:rsidRPr="00A600CF" w:rsidRDefault="00A01C4F" w:rsidP="00A01C4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(a)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Porcentagem sobre o peso do produto, excluída a </w:t>
      </w:r>
      <w:proofErr w:type="gramStart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fruta</w:t>
      </w:r>
      <w:proofErr w:type="gramEnd"/>
    </w:p>
    <w:p w:rsidR="009A5DE7" w:rsidRPr="00A600CF" w:rsidRDefault="00A01C4F" w:rsidP="00A01C4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(b)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Densidade aparente é a medida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ar incorporado ao sorvete (</w:t>
      </w:r>
      <w:proofErr w:type="spellStart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overun</w:t>
      </w:r>
      <w:proofErr w:type="spellEnd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mediante batimento e é expressa em gramas/litro.</w:t>
      </w:r>
    </w:p>
    <w:p w:rsidR="009A5DE7" w:rsidRPr="00A600CF" w:rsidRDefault="00A01C4F" w:rsidP="00A01C4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(c)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Os Gelados Comestíveis aqui caracterizados serão denominados "de chocolate"</w:t>
      </w:r>
    </w:p>
    <w:p w:rsidR="009A5DE7" w:rsidRPr="00A600CF" w:rsidRDefault="00A01C4F" w:rsidP="00A01C4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efeito desses padrões, a expressão "NATA" equivale a "CREME", limitando o seu uso para os produtos que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preenchem as composições indicadas na coluna </w:t>
      </w:r>
      <w:proofErr w:type="gramStart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</w:p>
    <w:p w:rsidR="009A5DE7" w:rsidRPr="00A600CF" w:rsidRDefault="00A01C4F" w:rsidP="00A01C4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Os gelados comestíveis cuja denominação signifique ou dê a entender que contém frutas ou produtos de frutas, de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ão ter no mínimo </w:t>
      </w:r>
      <w:proofErr w:type="gramStart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'%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fruta fresca, polpa, suco ou seu equivalente. Quando o gelado comestível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contiver mistura de frutas ou produtos de frutas e o rótulo não mencionar individualmente, o te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 mínimo total deverá ser de 3%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Exceção. </w:t>
      </w:r>
      <w:proofErr w:type="gramStart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gramEnd"/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gelados comestí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eis de laranja e de tangerina de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ter no mínimo 6%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fruta fresca, polpa, suco ou equivalente.</w:t>
      </w:r>
    </w:p>
    <w:p w:rsidR="009A5DE7" w:rsidRPr="00A600CF" w:rsidRDefault="00A01C4F" w:rsidP="00A01C4F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gelados comestí</w:t>
      </w:r>
      <w:r w:rsidR="009A5DE7"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veis cuja denominação signifique ou dê a entender que contém sementes de oleaginosas (avelã, castanha do Pará, nozes e outras) deverão conter, no mínimo, 2% das mesmas</w:t>
      </w:r>
      <w:r w:rsidRPr="00A600C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sectPr w:rsidR="009A5DE7" w:rsidRPr="00A600CF" w:rsidSect="00A600C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3F" w:rsidRDefault="004A5A3F" w:rsidP="004A5A3F">
      <w:pPr>
        <w:spacing w:after="0" w:line="240" w:lineRule="auto"/>
      </w:pPr>
      <w:r>
        <w:separator/>
      </w:r>
    </w:p>
  </w:endnote>
  <w:endnote w:type="continuationSeparator" w:id="0">
    <w:p w:rsidR="004A5A3F" w:rsidRDefault="004A5A3F" w:rsidP="004A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A3F" w:rsidRPr="00B517AC" w:rsidRDefault="004A5A3F" w:rsidP="004A5A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A5A3F" w:rsidRDefault="004A5A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3F" w:rsidRDefault="004A5A3F" w:rsidP="004A5A3F">
      <w:pPr>
        <w:spacing w:after="0" w:line="240" w:lineRule="auto"/>
      </w:pPr>
      <w:r>
        <w:separator/>
      </w:r>
    </w:p>
  </w:footnote>
  <w:footnote w:type="continuationSeparator" w:id="0">
    <w:p w:rsidR="004A5A3F" w:rsidRDefault="004A5A3F" w:rsidP="004A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A3F" w:rsidRPr="00B517AC" w:rsidRDefault="004A5A3F" w:rsidP="004A5A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F30A8B6" wp14:editId="28C523F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5A3F" w:rsidRPr="00B517AC" w:rsidRDefault="004A5A3F" w:rsidP="004A5A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A5A3F" w:rsidRPr="00B517AC" w:rsidRDefault="004A5A3F" w:rsidP="004A5A3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A5A3F" w:rsidRDefault="004A5A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972"/>
    <w:rsid w:val="001E708B"/>
    <w:rsid w:val="001F617A"/>
    <w:rsid w:val="00201A89"/>
    <w:rsid w:val="003106AB"/>
    <w:rsid w:val="004A5A3F"/>
    <w:rsid w:val="007441BF"/>
    <w:rsid w:val="00786686"/>
    <w:rsid w:val="00881208"/>
    <w:rsid w:val="009679EE"/>
    <w:rsid w:val="009A5DE7"/>
    <w:rsid w:val="00A01C4F"/>
    <w:rsid w:val="00A600CF"/>
    <w:rsid w:val="00B06052"/>
    <w:rsid w:val="00B26EC7"/>
    <w:rsid w:val="00B30817"/>
    <w:rsid w:val="00B33867"/>
    <w:rsid w:val="00B55AED"/>
    <w:rsid w:val="00C32972"/>
    <w:rsid w:val="00C74265"/>
    <w:rsid w:val="00D621E1"/>
    <w:rsid w:val="00E1100B"/>
    <w:rsid w:val="00F25917"/>
    <w:rsid w:val="00F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6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259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91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A5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5A3F"/>
  </w:style>
  <w:style w:type="paragraph" w:styleId="Rodap">
    <w:name w:val="footer"/>
    <w:basedOn w:val="Normal"/>
    <w:link w:val="RodapChar"/>
    <w:uiPriority w:val="99"/>
    <w:unhideWhenUsed/>
    <w:rsid w:val="004A5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5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6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259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07403-E2F2-487C-A370-1DEEAEEC68BD}"/>
</file>

<file path=customXml/itemProps2.xml><?xml version="1.0" encoding="utf-8"?>
<ds:datastoreItem xmlns:ds="http://schemas.openxmlformats.org/officeDocument/2006/customXml" ds:itemID="{3FF6B3B8-3484-4E15-AA27-8E6B6EA6FB4C}"/>
</file>

<file path=customXml/itemProps3.xml><?xml version="1.0" encoding="utf-8"?>
<ds:datastoreItem xmlns:ds="http://schemas.openxmlformats.org/officeDocument/2006/customXml" ds:itemID="{1048607A-4976-4B48-8902-9C749373B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2226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cp:lastPrinted>2016-08-16T14:00:00Z</cp:lastPrinted>
  <dcterms:created xsi:type="dcterms:W3CDTF">2015-12-28T11:53:00Z</dcterms:created>
  <dcterms:modified xsi:type="dcterms:W3CDTF">2016-08-16T14:00:00Z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