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E932" w14:textId="3420F15A" w:rsidR="00BC560C" w:rsidRPr="0066732A" w:rsidRDefault="00BC560C" w:rsidP="00BC560C">
      <w:pPr>
        <w:pStyle w:val="NormalWeb"/>
        <w:spacing w:before="0" w:beforeAutospacing="0" w:after="150" w:afterAutospacing="0"/>
        <w:jc w:val="center"/>
        <w:rPr>
          <w:b/>
        </w:rPr>
      </w:pPr>
      <w:bookmarkStart w:id="0" w:name="_GoBack"/>
      <w:bookmarkEnd w:id="0"/>
      <w:r w:rsidRPr="0066732A">
        <w:rPr>
          <w:b/>
        </w:rPr>
        <w:t>PORTARIA N° 748-B, DE 1</w:t>
      </w:r>
      <w:r>
        <w:rPr>
          <w:b/>
        </w:rPr>
        <w:t xml:space="preserve">5 </w:t>
      </w:r>
      <w:r w:rsidRPr="0066732A">
        <w:rPr>
          <w:b/>
        </w:rPr>
        <w:t>DE MAIO DE 2012</w:t>
      </w:r>
    </w:p>
    <w:p w14:paraId="542A00AC" w14:textId="77777777" w:rsidR="00BC560C" w:rsidRPr="00824FEF" w:rsidRDefault="00BC560C" w:rsidP="00BC560C">
      <w:pPr>
        <w:pStyle w:val="NormalWeb"/>
        <w:spacing w:before="0" w:beforeAutospacing="0" w:after="150" w:afterAutospacing="0"/>
        <w:jc w:val="center"/>
        <w:rPr>
          <w:b/>
          <w:color w:val="0000FF"/>
        </w:rPr>
      </w:pPr>
      <w:r>
        <w:rPr>
          <w:b/>
          <w:color w:val="0000FF"/>
        </w:rPr>
        <w:t>(Publicado em DOU</w:t>
      </w:r>
      <w:r w:rsidRPr="00D565B8">
        <w:rPr>
          <w:b/>
          <w:color w:val="0000FF"/>
        </w:rPr>
        <w:t xml:space="preserve"> nº 96, de 18 de maio de 2012)</w:t>
      </w:r>
    </w:p>
    <w:p w14:paraId="6A68BAB2" w14:textId="77777777" w:rsidR="00BC560C" w:rsidRDefault="00BC560C" w:rsidP="00BC560C">
      <w:pPr>
        <w:pStyle w:val="NormalWeb"/>
        <w:spacing w:before="0" w:beforeAutospacing="0" w:after="150" w:afterAutospacing="0"/>
        <w:ind w:left="4536"/>
        <w:jc w:val="both"/>
      </w:pPr>
      <w:r w:rsidRPr="0066732A">
        <w:t>Define os assuntos que deverão receber tratamento sigiloso no âmbito da Anvisa, em atendimento à Lei n° 12.527, de 18 de novembro de 2011, regulamentada pelo Decreto 7.724, de 16 de maio de 2012, a fim de orientar os procedimentos de classificação, reclassificação e desclassificação de informações na Agência e dá outras providências.</w:t>
      </w:r>
    </w:p>
    <w:p w14:paraId="4ECF344D" w14:textId="77777777" w:rsidR="00BC560C" w:rsidRPr="0066732A" w:rsidRDefault="00BC560C" w:rsidP="00BC560C">
      <w:pPr>
        <w:pStyle w:val="NormalWeb"/>
        <w:spacing w:before="0" w:beforeAutospacing="0" w:after="150" w:afterAutospacing="0"/>
        <w:ind w:left="4536"/>
        <w:jc w:val="both"/>
      </w:pPr>
    </w:p>
    <w:p w14:paraId="7E164E8D"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O Diretor Presidente da Agência Nacional de Vigilância Sanitária, no uso das atribuições que lhe confere o Decreto de nomeação de 27 de abril de 2011 da Presidente da República, publicado no DOU de 28 de abril de 2011 e o inciso X do Decreto nº 3.029, de 16 de abril de 1999, e art. 13 do Regulamento da Anvisa aprovado pelo Decreto nº 3.029 de 1999, tendo em vista o disposto no inciso VIII do art. 16 e no inciso IV, § 3º, do art. 55 do Regimento Interno da Anvisa, aprovado nos termos do Anexo I da Portaria nº 354, de 11 de agosto de 2006, republicada no DOU de 21 de agosto de 2006, resolve:</w:t>
      </w:r>
    </w:p>
    <w:p w14:paraId="38D07C99"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Art. 1º Definir os assuntos que serão tratados como sigilosos no âmbito da Agência Nacional de Vigilância Sanitária, nos termos da Lei nº 12.527/2011 e do Decreto 7.724/2012.</w:t>
      </w:r>
    </w:p>
    <w:p w14:paraId="3148B959"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Parágrafo único. Os assuntos de que trata o caput encontram-se listados no Anexo I da presente portaria.</w:t>
      </w:r>
    </w:p>
    <w:p w14:paraId="4DFB54E9"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Art. 2º As hipóteses de sigilo previstas na legislação específica, como fiscal, bancário, de operações, serviços de mercado de capitais, comercial, profissional, industrial e segredo de justiça serão tratadas conforme a legislação específica que as regulamentam, não sendo disciplinadas pelos comandos do Decreto 7.724/2012.</w:t>
      </w:r>
    </w:p>
    <w:p w14:paraId="3DF556B8"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Art. 3º Também não se sujeitam ao disposto no Decreto 7.724/2012 as informações relativas à atividade empresarial de pessoas físicas ou jurídicas de direito privado obtidas pela Anvisa no exercício de sua atividade reguladora cuja divulgação possa representar vantagem competitiva a outros agentes econômicos.</w:t>
      </w:r>
    </w:p>
    <w:p w14:paraId="080CB627"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Art. 4° As informações de natureza pessoal, independentemente de classificação de sigilo, terão seu acesso restrito pelo prazo máximo de 100 anos, na forma da Seção V da Lei 12.527/2011.</w:t>
      </w:r>
    </w:p>
    <w:p w14:paraId="6AB49975"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Art. 5º A classificação do sigilo no âmbito da Anvisa será de competência:</w:t>
      </w:r>
    </w:p>
    <w:p w14:paraId="2D700C8D"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 xml:space="preserve">I - </w:t>
      </w:r>
      <w:proofErr w:type="gramStart"/>
      <w:r w:rsidRPr="00BE4DB7">
        <w:rPr>
          <w:rFonts w:ascii="Times New Roman" w:hAnsi="Times New Roman"/>
          <w:sz w:val="24"/>
          <w:szCs w:val="24"/>
          <w:lang w:eastAsia="pt-BR"/>
        </w:rPr>
        <w:t>do</w:t>
      </w:r>
      <w:proofErr w:type="gramEnd"/>
      <w:r w:rsidRPr="00BE4DB7">
        <w:rPr>
          <w:rFonts w:ascii="Times New Roman" w:hAnsi="Times New Roman"/>
          <w:sz w:val="24"/>
          <w:szCs w:val="24"/>
          <w:lang w:eastAsia="pt-BR"/>
        </w:rPr>
        <w:t xml:space="preserve"> gerente-geral (ou autoridade hierarquicamente equiparada), no caso de classificação no grau de reservado;</w:t>
      </w:r>
    </w:p>
    <w:p w14:paraId="3E9E380B"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lastRenderedPageBreak/>
        <w:t xml:space="preserve">II - </w:t>
      </w:r>
      <w:proofErr w:type="gramStart"/>
      <w:r w:rsidRPr="00BE4DB7">
        <w:rPr>
          <w:rFonts w:ascii="Times New Roman" w:hAnsi="Times New Roman"/>
          <w:sz w:val="24"/>
          <w:szCs w:val="24"/>
          <w:lang w:eastAsia="pt-BR"/>
        </w:rPr>
        <w:t>do</w:t>
      </w:r>
      <w:proofErr w:type="gramEnd"/>
      <w:r w:rsidRPr="00BE4DB7">
        <w:rPr>
          <w:rFonts w:ascii="Times New Roman" w:hAnsi="Times New Roman"/>
          <w:sz w:val="24"/>
          <w:szCs w:val="24"/>
          <w:lang w:eastAsia="pt-BR"/>
        </w:rPr>
        <w:t xml:space="preserve"> diretor-presidente, no caso de classificação no grau de secreto.</w:t>
      </w:r>
    </w:p>
    <w:p w14:paraId="56D8C806"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 xml:space="preserve">Art. 6º Fica definida a Diretoria Colegiada da Anvisa como autoridade competente para apreciação do recurso hierárquico previsto no artigo 15 da Lei </w:t>
      </w:r>
      <w:r>
        <w:rPr>
          <w:rFonts w:ascii="Times New Roman" w:hAnsi="Times New Roman"/>
          <w:sz w:val="24"/>
          <w:szCs w:val="24"/>
          <w:lang w:eastAsia="pt-BR"/>
        </w:rPr>
        <w:t>12.527/2011</w:t>
      </w:r>
      <w:r w:rsidRPr="00BE4DB7">
        <w:rPr>
          <w:rFonts w:ascii="Times New Roman" w:hAnsi="Times New Roman"/>
          <w:sz w:val="24"/>
          <w:szCs w:val="24"/>
          <w:lang w:eastAsia="pt-BR"/>
        </w:rPr>
        <w:t>.</w:t>
      </w:r>
    </w:p>
    <w:p w14:paraId="557E79B3"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Parágrafo único. A apresentação do recurso poderá ser feita por meio da central de atendimento ao público (0800 642 9782), de formulário eletrônico disponível no site da Agência (Fale Conosco) ou presencialmente, na Sede da Anvisa, através da apresentação do formulário presente no Anexo II junto ao Serviço de Informação ao Cidadão (SIC).</w:t>
      </w:r>
    </w:p>
    <w:p w14:paraId="700FBAF7" w14:textId="77777777" w:rsidR="00BC560C" w:rsidRPr="00BE4DB7" w:rsidRDefault="00BC560C" w:rsidP="00BC560C">
      <w:pPr>
        <w:autoSpaceDE w:val="0"/>
        <w:autoSpaceDN w:val="0"/>
        <w:adjustRightInd w:val="0"/>
        <w:spacing w:line="240" w:lineRule="auto"/>
        <w:ind w:firstLine="567"/>
        <w:jc w:val="both"/>
        <w:rPr>
          <w:rFonts w:ascii="Times New Roman" w:hAnsi="Times New Roman"/>
          <w:sz w:val="24"/>
          <w:szCs w:val="24"/>
          <w:lang w:eastAsia="pt-BR"/>
        </w:rPr>
      </w:pPr>
      <w:r w:rsidRPr="00BE4DB7">
        <w:rPr>
          <w:rFonts w:ascii="Times New Roman" w:hAnsi="Times New Roman"/>
          <w:sz w:val="24"/>
          <w:szCs w:val="24"/>
          <w:lang w:eastAsia="pt-BR"/>
        </w:rPr>
        <w:t>Art. 7º Independentemente da existência de pedido prévio de acesso à informação, poderá haver pedido de desclassificação ou de reavaliação da classificação, que será avaliado pela autoridade classificadora, cabendo recurso ao Diretor-presidente da Anvisa.</w:t>
      </w:r>
    </w:p>
    <w:p w14:paraId="268487FF" w14:textId="77777777" w:rsidR="00BC560C" w:rsidRDefault="00BC560C" w:rsidP="00BC560C">
      <w:pPr>
        <w:autoSpaceDE w:val="0"/>
        <w:autoSpaceDN w:val="0"/>
        <w:adjustRightInd w:val="0"/>
        <w:spacing w:line="240" w:lineRule="auto"/>
        <w:ind w:firstLine="567"/>
        <w:jc w:val="both"/>
        <w:rPr>
          <w:rFonts w:ascii="Times New Roman" w:hAnsi="Times New Roman"/>
          <w:sz w:val="16"/>
          <w:szCs w:val="16"/>
          <w:lang w:eastAsia="pt-BR"/>
        </w:rPr>
      </w:pPr>
      <w:r w:rsidRPr="00BE4DB7">
        <w:rPr>
          <w:rFonts w:ascii="Times New Roman" w:hAnsi="Times New Roman"/>
          <w:sz w:val="24"/>
          <w:szCs w:val="24"/>
          <w:lang w:eastAsia="pt-BR"/>
        </w:rPr>
        <w:t>Art. 8º Será instituída, em ato próprio, a Comissão Permanente de Avaliação de Documentos Sigilosos, que, entre outras atribuições, irá assessorar as autoridades classificadoras e a Diretoria Colegiada quanto à classificação, reclassificação e desclassificação de informações.</w:t>
      </w:r>
    </w:p>
    <w:p w14:paraId="45621BA0" w14:textId="77777777" w:rsidR="00BC560C" w:rsidRDefault="00BC560C" w:rsidP="00BC560C">
      <w:pPr>
        <w:pStyle w:val="NormalWeb"/>
        <w:spacing w:before="0" w:beforeAutospacing="0" w:after="150" w:afterAutospacing="0"/>
        <w:ind w:firstLine="567"/>
        <w:rPr>
          <w:rFonts w:eastAsia="Calibri"/>
        </w:rPr>
      </w:pPr>
      <w:r w:rsidRPr="00BE4DB7">
        <w:rPr>
          <w:rFonts w:eastAsia="Calibri"/>
        </w:rPr>
        <w:t>Art. 7º Esta Portaria entra em vigor na data da sua publicação.</w:t>
      </w:r>
    </w:p>
    <w:p w14:paraId="5FCAA8BB" w14:textId="77777777" w:rsidR="00BC560C" w:rsidRDefault="00BC560C" w:rsidP="00BC560C">
      <w:pPr>
        <w:pStyle w:val="NormalWeb"/>
        <w:spacing w:before="0" w:beforeAutospacing="0" w:after="150" w:afterAutospacing="0"/>
        <w:ind w:firstLine="567"/>
        <w:rPr>
          <w:rFonts w:eastAsia="Calibri"/>
        </w:rPr>
      </w:pPr>
    </w:p>
    <w:p w14:paraId="7CB80571" w14:textId="77777777" w:rsidR="00BC560C" w:rsidRDefault="00BC560C" w:rsidP="00BC560C">
      <w:pPr>
        <w:pStyle w:val="NormalWeb"/>
        <w:spacing w:before="0" w:beforeAutospacing="0" w:after="150" w:afterAutospacing="0"/>
        <w:jc w:val="center"/>
        <w:rPr>
          <w:rFonts w:eastAsia="Calibri"/>
          <w:b/>
        </w:rPr>
      </w:pPr>
      <w:r w:rsidRPr="00BE4DB7">
        <w:rPr>
          <w:rFonts w:eastAsia="Calibri"/>
          <w:b/>
        </w:rPr>
        <w:t>DIRCEU BRAS APARECIDO BARBANO</w:t>
      </w:r>
    </w:p>
    <w:p w14:paraId="3AB5B564" w14:textId="77777777" w:rsidR="00BC560C" w:rsidRPr="00BE4DB7" w:rsidRDefault="00BC560C" w:rsidP="00BC560C">
      <w:pPr>
        <w:pStyle w:val="NormalWeb"/>
        <w:spacing w:before="0" w:beforeAutospacing="0" w:after="150" w:afterAutospacing="0"/>
        <w:jc w:val="center"/>
        <w:rPr>
          <w:rFonts w:eastAsia="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1779"/>
        <w:gridCol w:w="1794"/>
        <w:gridCol w:w="1526"/>
        <w:gridCol w:w="1800"/>
      </w:tblGrid>
      <w:tr w:rsidR="00BC560C" w:rsidRPr="00231709" w14:paraId="3CF59033" w14:textId="77777777" w:rsidTr="001A06F1">
        <w:tc>
          <w:tcPr>
            <w:tcW w:w="2012" w:type="dxa"/>
            <w:shd w:val="clear" w:color="auto" w:fill="auto"/>
          </w:tcPr>
          <w:p w14:paraId="67FC822F" w14:textId="77777777" w:rsidR="00BC560C" w:rsidRPr="00231709" w:rsidRDefault="00BC560C" w:rsidP="001A06F1">
            <w:pPr>
              <w:pStyle w:val="NormalWeb"/>
              <w:spacing w:before="0" w:beforeAutospacing="0" w:after="150" w:afterAutospacing="0"/>
              <w:jc w:val="center"/>
              <w:rPr>
                <w:b/>
                <w:sz w:val="20"/>
              </w:rPr>
            </w:pPr>
            <w:r w:rsidRPr="00231709">
              <w:rPr>
                <w:b/>
                <w:sz w:val="20"/>
              </w:rPr>
              <w:t>Assuntos sigilosos</w:t>
            </w:r>
          </w:p>
        </w:tc>
        <w:tc>
          <w:tcPr>
            <w:tcW w:w="2012" w:type="dxa"/>
            <w:shd w:val="clear" w:color="auto" w:fill="auto"/>
          </w:tcPr>
          <w:p w14:paraId="5D1B4281" w14:textId="77777777" w:rsidR="00BC560C" w:rsidRPr="00231709" w:rsidRDefault="00BC560C" w:rsidP="001A06F1">
            <w:pPr>
              <w:pStyle w:val="NormalWeb"/>
              <w:spacing w:before="0" w:beforeAutospacing="0" w:after="150" w:afterAutospacing="0"/>
              <w:jc w:val="center"/>
              <w:rPr>
                <w:b/>
                <w:sz w:val="20"/>
              </w:rPr>
            </w:pPr>
            <w:r w:rsidRPr="00231709">
              <w:rPr>
                <w:b/>
                <w:sz w:val="20"/>
              </w:rPr>
              <w:t>Aplicação material</w:t>
            </w:r>
          </w:p>
          <w:p w14:paraId="79D32B3F" w14:textId="77777777" w:rsidR="00BC560C" w:rsidRPr="00231709" w:rsidRDefault="00BC560C" w:rsidP="001A06F1">
            <w:pPr>
              <w:pStyle w:val="NormalWeb"/>
              <w:spacing w:before="0" w:beforeAutospacing="0" w:after="150" w:afterAutospacing="0"/>
              <w:jc w:val="center"/>
              <w:rPr>
                <w:b/>
                <w:sz w:val="20"/>
              </w:rPr>
            </w:pPr>
            <w:r w:rsidRPr="00231709">
              <w:rPr>
                <w:b/>
                <w:sz w:val="20"/>
              </w:rPr>
              <w:t>(rol exemplificativo, não exaustivo)</w:t>
            </w:r>
          </w:p>
        </w:tc>
        <w:tc>
          <w:tcPr>
            <w:tcW w:w="2013" w:type="dxa"/>
            <w:shd w:val="clear" w:color="auto" w:fill="auto"/>
          </w:tcPr>
          <w:p w14:paraId="352F0EAB" w14:textId="77777777" w:rsidR="00BC560C" w:rsidRPr="00231709" w:rsidRDefault="00BC560C" w:rsidP="001A06F1">
            <w:pPr>
              <w:pStyle w:val="NormalWeb"/>
              <w:spacing w:before="0" w:beforeAutospacing="0" w:after="150" w:afterAutospacing="0"/>
              <w:jc w:val="center"/>
              <w:rPr>
                <w:b/>
                <w:sz w:val="20"/>
              </w:rPr>
            </w:pPr>
            <w:r w:rsidRPr="00231709">
              <w:rPr>
                <w:b/>
                <w:sz w:val="20"/>
              </w:rPr>
              <w:t>Fundamentação</w:t>
            </w:r>
          </w:p>
        </w:tc>
        <w:tc>
          <w:tcPr>
            <w:tcW w:w="2013" w:type="dxa"/>
            <w:shd w:val="clear" w:color="auto" w:fill="auto"/>
          </w:tcPr>
          <w:p w14:paraId="6952767B" w14:textId="77777777" w:rsidR="00BC560C" w:rsidRPr="00231709" w:rsidRDefault="00BC560C" w:rsidP="001A06F1">
            <w:pPr>
              <w:pStyle w:val="NormalWeb"/>
              <w:spacing w:before="0" w:beforeAutospacing="0" w:after="150" w:afterAutospacing="0"/>
              <w:jc w:val="center"/>
              <w:rPr>
                <w:b/>
                <w:sz w:val="20"/>
              </w:rPr>
            </w:pPr>
            <w:r w:rsidRPr="00231709">
              <w:rPr>
                <w:b/>
                <w:sz w:val="20"/>
              </w:rPr>
              <w:t>Prazo</w:t>
            </w:r>
          </w:p>
        </w:tc>
        <w:tc>
          <w:tcPr>
            <w:tcW w:w="2013" w:type="dxa"/>
            <w:shd w:val="clear" w:color="auto" w:fill="auto"/>
          </w:tcPr>
          <w:p w14:paraId="1B984E03" w14:textId="77777777" w:rsidR="00BC560C" w:rsidRPr="00231709" w:rsidRDefault="00BC560C" w:rsidP="001A06F1">
            <w:pPr>
              <w:pStyle w:val="NormalWeb"/>
              <w:spacing w:before="0" w:beforeAutospacing="0" w:after="150" w:afterAutospacing="0"/>
              <w:jc w:val="center"/>
              <w:rPr>
                <w:b/>
                <w:sz w:val="20"/>
              </w:rPr>
            </w:pPr>
            <w:r w:rsidRPr="00231709">
              <w:rPr>
                <w:b/>
                <w:sz w:val="20"/>
              </w:rPr>
              <w:t>Autoridade classificadora</w:t>
            </w:r>
          </w:p>
        </w:tc>
      </w:tr>
      <w:tr w:rsidR="00BC560C" w:rsidRPr="00231709" w14:paraId="6F0F1E27" w14:textId="77777777" w:rsidTr="001A06F1">
        <w:tc>
          <w:tcPr>
            <w:tcW w:w="2012" w:type="dxa"/>
            <w:vMerge w:val="restart"/>
            <w:shd w:val="clear" w:color="auto" w:fill="auto"/>
          </w:tcPr>
          <w:p w14:paraId="33A9B677" w14:textId="77777777" w:rsidR="00BC560C" w:rsidRPr="00231709" w:rsidRDefault="00BC560C" w:rsidP="001A06F1">
            <w:pPr>
              <w:pStyle w:val="NormalWeb"/>
              <w:spacing w:before="0" w:beforeAutospacing="0" w:after="150" w:afterAutospacing="0"/>
              <w:rPr>
                <w:sz w:val="20"/>
              </w:rPr>
            </w:pPr>
            <w:r w:rsidRPr="00231709">
              <w:rPr>
                <w:sz w:val="20"/>
              </w:rPr>
              <w:t>Informações relacionadas a estudos científicos e projetos de pesquisa em andamento ou não publicados</w:t>
            </w:r>
          </w:p>
        </w:tc>
        <w:tc>
          <w:tcPr>
            <w:tcW w:w="2012" w:type="dxa"/>
            <w:shd w:val="clear" w:color="auto" w:fill="auto"/>
          </w:tcPr>
          <w:p w14:paraId="10C9C714" w14:textId="77777777" w:rsidR="00BC560C" w:rsidRPr="00231709" w:rsidRDefault="00BC560C" w:rsidP="001A06F1">
            <w:pPr>
              <w:pStyle w:val="NormalWeb"/>
              <w:spacing w:before="0" w:beforeAutospacing="0" w:after="150" w:afterAutospacing="0"/>
              <w:rPr>
                <w:sz w:val="20"/>
              </w:rPr>
            </w:pPr>
            <w:r w:rsidRPr="00231709">
              <w:rPr>
                <w:sz w:val="20"/>
              </w:rPr>
              <w:t>Resumo de estudos e ensaios a serem realizados</w:t>
            </w:r>
          </w:p>
        </w:tc>
        <w:tc>
          <w:tcPr>
            <w:tcW w:w="2013" w:type="dxa"/>
            <w:vMerge w:val="restart"/>
            <w:shd w:val="clear" w:color="auto" w:fill="auto"/>
          </w:tcPr>
          <w:p w14:paraId="27E7078F" w14:textId="77777777" w:rsidR="00BC560C" w:rsidRPr="00231709" w:rsidRDefault="00BC560C" w:rsidP="001A06F1">
            <w:pPr>
              <w:pStyle w:val="NormalWeb"/>
              <w:spacing w:before="0" w:beforeAutospacing="0" w:after="150" w:afterAutospacing="0"/>
              <w:rPr>
                <w:sz w:val="20"/>
              </w:rPr>
            </w:pPr>
            <w:r w:rsidRPr="00231709">
              <w:rPr>
                <w:sz w:val="20"/>
              </w:rPr>
              <w:t>Lei 12.527/2011, art. 23, inciso VI</w:t>
            </w:r>
          </w:p>
        </w:tc>
        <w:tc>
          <w:tcPr>
            <w:tcW w:w="2013" w:type="dxa"/>
            <w:vMerge w:val="restart"/>
            <w:shd w:val="clear" w:color="auto" w:fill="auto"/>
          </w:tcPr>
          <w:p w14:paraId="6519C2C0" w14:textId="77777777" w:rsidR="00BC560C" w:rsidRPr="00231709" w:rsidRDefault="00BC560C" w:rsidP="001A06F1">
            <w:pPr>
              <w:pStyle w:val="NormalWeb"/>
              <w:spacing w:after="150"/>
              <w:rPr>
                <w:sz w:val="20"/>
              </w:rPr>
            </w:pPr>
            <w:r w:rsidRPr="00231709">
              <w:rPr>
                <w:sz w:val="20"/>
              </w:rPr>
              <w:t>Termo final da restrição de acesso é a publicação do estudo ou projeto de pesquisa</w:t>
            </w:r>
          </w:p>
        </w:tc>
        <w:tc>
          <w:tcPr>
            <w:tcW w:w="2013" w:type="dxa"/>
            <w:vMerge w:val="restart"/>
            <w:shd w:val="clear" w:color="auto" w:fill="auto"/>
          </w:tcPr>
          <w:p w14:paraId="28513CBB" w14:textId="77777777" w:rsidR="00BC560C" w:rsidRPr="00231709" w:rsidRDefault="00BC560C" w:rsidP="001A06F1">
            <w:pPr>
              <w:autoSpaceDE w:val="0"/>
              <w:autoSpaceDN w:val="0"/>
              <w:adjustRightInd w:val="0"/>
              <w:spacing w:after="0" w:line="240" w:lineRule="auto"/>
              <w:rPr>
                <w:rFonts w:ascii="Times New Roman" w:eastAsia="Times New Roman" w:hAnsi="Times New Roman"/>
                <w:sz w:val="20"/>
                <w:szCs w:val="24"/>
                <w:lang w:eastAsia="pt-BR"/>
              </w:rPr>
            </w:pPr>
            <w:r w:rsidRPr="00231709">
              <w:rPr>
                <w:rFonts w:ascii="Times New Roman" w:eastAsia="Times New Roman" w:hAnsi="Times New Roman"/>
                <w:sz w:val="20"/>
                <w:szCs w:val="24"/>
                <w:lang w:eastAsia="pt-BR"/>
              </w:rPr>
              <w:t>Gerente-geral ou autoridade hierarquicamente</w:t>
            </w:r>
          </w:p>
          <w:p w14:paraId="4F93AADF" w14:textId="77777777" w:rsidR="00BC560C" w:rsidRPr="00231709" w:rsidRDefault="00BC560C" w:rsidP="001A06F1">
            <w:pPr>
              <w:pStyle w:val="NormalWeb"/>
              <w:spacing w:before="0" w:beforeAutospacing="0" w:after="150" w:afterAutospacing="0"/>
              <w:rPr>
                <w:sz w:val="20"/>
              </w:rPr>
            </w:pPr>
            <w:r w:rsidRPr="00231709">
              <w:rPr>
                <w:sz w:val="20"/>
              </w:rPr>
              <w:t>equiparada</w:t>
            </w:r>
          </w:p>
        </w:tc>
      </w:tr>
      <w:tr w:rsidR="00BC560C" w:rsidRPr="00231709" w14:paraId="0DF41AF1" w14:textId="77777777" w:rsidTr="001A06F1">
        <w:tc>
          <w:tcPr>
            <w:tcW w:w="2012" w:type="dxa"/>
            <w:vMerge/>
            <w:shd w:val="clear" w:color="auto" w:fill="auto"/>
          </w:tcPr>
          <w:p w14:paraId="3204A2A6" w14:textId="77777777" w:rsidR="00BC560C" w:rsidRPr="00231709" w:rsidRDefault="00BC560C" w:rsidP="001A06F1">
            <w:pPr>
              <w:pStyle w:val="NormalWeb"/>
              <w:spacing w:before="0" w:beforeAutospacing="0" w:after="150" w:afterAutospacing="0"/>
              <w:rPr>
                <w:sz w:val="20"/>
              </w:rPr>
            </w:pPr>
          </w:p>
        </w:tc>
        <w:tc>
          <w:tcPr>
            <w:tcW w:w="2012" w:type="dxa"/>
            <w:shd w:val="clear" w:color="auto" w:fill="auto"/>
          </w:tcPr>
          <w:p w14:paraId="76E0841B" w14:textId="77777777" w:rsidR="00BC560C" w:rsidRPr="00231709" w:rsidRDefault="00BC560C" w:rsidP="001A06F1">
            <w:pPr>
              <w:pStyle w:val="NormalWeb"/>
              <w:spacing w:before="0" w:beforeAutospacing="0" w:after="150" w:afterAutospacing="0"/>
              <w:rPr>
                <w:sz w:val="20"/>
              </w:rPr>
            </w:pPr>
            <w:r w:rsidRPr="00231709">
              <w:rPr>
                <w:sz w:val="20"/>
              </w:rPr>
              <w:t>Planos integrais de cursos ou pesquisas</w:t>
            </w:r>
          </w:p>
        </w:tc>
        <w:tc>
          <w:tcPr>
            <w:tcW w:w="2013" w:type="dxa"/>
            <w:vMerge/>
            <w:shd w:val="clear" w:color="auto" w:fill="auto"/>
          </w:tcPr>
          <w:p w14:paraId="1E38FCCB" w14:textId="77777777" w:rsidR="00BC560C" w:rsidRPr="00231709" w:rsidRDefault="00BC560C" w:rsidP="001A06F1">
            <w:pPr>
              <w:pStyle w:val="NormalWeb"/>
              <w:spacing w:before="0" w:beforeAutospacing="0" w:after="150" w:afterAutospacing="0"/>
              <w:rPr>
                <w:sz w:val="20"/>
              </w:rPr>
            </w:pPr>
          </w:p>
        </w:tc>
        <w:tc>
          <w:tcPr>
            <w:tcW w:w="2013" w:type="dxa"/>
            <w:vMerge/>
            <w:shd w:val="clear" w:color="auto" w:fill="auto"/>
          </w:tcPr>
          <w:p w14:paraId="0B46AA54" w14:textId="77777777" w:rsidR="00BC560C" w:rsidRPr="00231709" w:rsidRDefault="00BC560C" w:rsidP="001A06F1">
            <w:pPr>
              <w:pStyle w:val="NormalWeb"/>
              <w:spacing w:before="0" w:beforeAutospacing="0" w:after="150" w:afterAutospacing="0"/>
              <w:rPr>
                <w:sz w:val="20"/>
              </w:rPr>
            </w:pPr>
          </w:p>
        </w:tc>
        <w:tc>
          <w:tcPr>
            <w:tcW w:w="2013" w:type="dxa"/>
            <w:vMerge/>
            <w:shd w:val="clear" w:color="auto" w:fill="auto"/>
          </w:tcPr>
          <w:p w14:paraId="3100FCEF" w14:textId="77777777" w:rsidR="00BC560C" w:rsidRPr="00231709" w:rsidRDefault="00BC560C" w:rsidP="001A06F1">
            <w:pPr>
              <w:pStyle w:val="NormalWeb"/>
              <w:spacing w:before="0" w:beforeAutospacing="0" w:after="150" w:afterAutospacing="0"/>
              <w:rPr>
                <w:sz w:val="20"/>
              </w:rPr>
            </w:pPr>
          </w:p>
        </w:tc>
      </w:tr>
      <w:tr w:rsidR="00BC560C" w:rsidRPr="00231709" w14:paraId="6F6AC5B2" w14:textId="77777777" w:rsidTr="001A06F1">
        <w:tc>
          <w:tcPr>
            <w:tcW w:w="2012" w:type="dxa"/>
            <w:vMerge/>
            <w:shd w:val="clear" w:color="auto" w:fill="auto"/>
          </w:tcPr>
          <w:p w14:paraId="68BA5947" w14:textId="77777777" w:rsidR="00BC560C" w:rsidRPr="00231709" w:rsidRDefault="00BC560C" w:rsidP="001A06F1">
            <w:pPr>
              <w:pStyle w:val="NormalWeb"/>
              <w:spacing w:before="0" w:beforeAutospacing="0" w:after="150" w:afterAutospacing="0"/>
              <w:rPr>
                <w:sz w:val="20"/>
              </w:rPr>
            </w:pPr>
          </w:p>
        </w:tc>
        <w:tc>
          <w:tcPr>
            <w:tcW w:w="2012" w:type="dxa"/>
            <w:shd w:val="clear" w:color="auto" w:fill="auto"/>
          </w:tcPr>
          <w:p w14:paraId="4FFFEECE" w14:textId="77777777" w:rsidR="00BC560C" w:rsidRPr="00231709" w:rsidRDefault="00BC560C" w:rsidP="001A06F1">
            <w:pPr>
              <w:pStyle w:val="NormalWeb"/>
              <w:spacing w:before="0" w:beforeAutospacing="0" w:after="150" w:afterAutospacing="0"/>
              <w:rPr>
                <w:sz w:val="20"/>
              </w:rPr>
            </w:pPr>
            <w:r w:rsidRPr="00231709">
              <w:rPr>
                <w:sz w:val="20"/>
              </w:rPr>
              <w:t>Propostas de aprovação e certificações de Denominações Comuns Brasileiras não publicadas</w:t>
            </w:r>
          </w:p>
        </w:tc>
        <w:tc>
          <w:tcPr>
            <w:tcW w:w="2013" w:type="dxa"/>
            <w:vMerge/>
            <w:shd w:val="clear" w:color="auto" w:fill="auto"/>
          </w:tcPr>
          <w:p w14:paraId="287931E6" w14:textId="77777777" w:rsidR="00BC560C" w:rsidRPr="00231709" w:rsidRDefault="00BC560C" w:rsidP="001A06F1">
            <w:pPr>
              <w:pStyle w:val="NormalWeb"/>
              <w:spacing w:before="0" w:beforeAutospacing="0" w:after="150" w:afterAutospacing="0"/>
              <w:rPr>
                <w:sz w:val="20"/>
              </w:rPr>
            </w:pPr>
          </w:p>
        </w:tc>
        <w:tc>
          <w:tcPr>
            <w:tcW w:w="2013" w:type="dxa"/>
            <w:vMerge/>
            <w:shd w:val="clear" w:color="auto" w:fill="auto"/>
          </w:tcPr>
          <w:p w14:paraId="4C7C0EF5" w14:textId="77777777" w:rsidR="00BC560C" w:rsidRPr="00231709" w:rsidRDefault="00BC560C" w:rsidP="001A06F1">
            <w:pPr>
              <w:pStyle w:val="NormalWeb"/>
              <w:spacing w:before="0" w:beforeAutospacing="0" w:after="150" w:afterAutospacing="0"/>
              <w:rPr>
                <w:sz w:val="20"/>
              </w:rPr>
            </w:pPr>
          </w:p>
        </w:tc>
        <w:tc>
          <w:tcPr>
            <w:tcW w:w="2013" w:type="dxa"/>
            <w:vMerge/>
            <w:shd w:val="clear" w:color="auto" w:fill="auto"/>
          </w:tcPr>
          <w:p w14:paraId="4E56B501" w14:textId="77777777" w:rsidR="00BC560C" w:rsidRPr="00231709" w:rsidRDefault="00BC560C" w:rsidP="001A06F1">
            <w:pPr>
              <w:pStyle w:val="NormalWeb"/>
              <w:spacing w:before="0" w:beforeAutospacing="0" w:after="150" w:afterAutospacing="0"/>
              <w:rPr>
                <w:sz w:val="20"/>
              </w:rPr>
            </w:pPr>
          </w:p>
        </w:tc>
      </w:tr>
      <w:tr w:rsidR="00BC560C" w:rsidRPr="00231709" w14:paraId="03A92E89" w14:textId="77777777" w:rsidTr="001A06F1">
        <w:tc>
          <w:tcPr>
            <w:tcW w:w="2012" w:type="dxa"/>
            <w:shd w:val="clear" w:color="auto" w:fill="auto"/>
          </w:tcPr>
          <w:p w14:paraId="6E2F31CD" w14:textId="77777777" w:rsidR="00BC560C" w:rsidRPr="00231709" w:rsidRDefault="00BC560C" w:rsidP="001A06F1">
            <w:pPr>
              <w:pStyle w:val="NormalWeb"/>
              <w:spacing w:after="150"/>
              <w:rPr>
                <w:sz w:val="20"/>
              </w:rPr>
            </w:pPr>
            <w:r w:rsidRPr="00231709">
              <w:rPr>
                <w:sz w:val="20"/>
              </w:rPr>
              <w:t xml:space="preserve">Informações relativas a atividades de inteligência, investigação ou </w:t>
            </w:r>
            <w:r w:rsidRPr="00231709">
              <w:rPr>
                <w:sz w:val="20"/>
              </w:rPr>
              <w:lastRenderedPageBreak/>
              <w:t>fiscalização em andamento</w:t>
            </w:r>
          </w:p>
        </w:tc>
        <w:tc>
          <w:tcPr>
            <w:tcW w:w="2012" w:type="dxa"/>
            <w:shd w:val="clear" w:color="auto" w:fill="auto"/>
          </w:tcPr>
          <w:p w14:paraId="2396744B" w14:textId="77777777" w:rsidR="00BC560C" w:rsidRPr="00231709" w:rsidRDefault="00BC560C" w:rsidP="001A06F1">
            <w:pPr>
              <w:pStyle w:val="NormalWeb"/>
              <w:spacing w:before="0" w:beforeAutospacing="0" w:after="150" w:afterAutospacing="0"/>
              <w:rPr>
                <w:sz w:val="20"/>
              </w:rPr>
            </w:pPr>
            <w:r w:rsidRPr="00231709">
              <w:rPr>
                <w:sz w:val="20"/>
              </w:rPr>
              <w:lastRenderedPageBreak/>
              <w:t>Dossiês de investigação</w:t>
            </w:r>
          </w:p>
        </w:tc>
        <w:tc>
          <w:tcPr>
            <w:tcW w:w="2013" w:type="dxa"/>
            <w:shd w:val="clear" w:color="auto" w:fill="auto"/>
          </w:tcPr>
          <w:p w14:paraId="5DF82D99"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14FA23F2"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5B41BAD4" w14:textId="77777777" w:rsidR="00BC560C" w:rsidRPr="00231709" w:rsidRDefault="00BC560C" w:rsidP="001A06F1">
            <w:pPr>
              <w:pStyle w:val="NormalWeb"/>
              <w:spacing w:before="0" w:beforeAutospacing="0" w:after="150" w:afterAutospacing="0"/>
              <w:rPr>
                <w:sz w:val="20"/>
              </w:rPr>
            </w:pPr>
          </w:p>
        </w:tc>
      </w:tr>
      <w:tr w:rsidR="00BC560C" w:rsidRPr="00231709" w14:paraId="6B94E2BC" w14:textId="77777777" w:rsidTr="001A06F1">
        <w:tc>
          <w:tcPr>
            <w:tcW w:w="2012" w:type="dxa"/>
            <w:shd w:val="clear" w:color="auto" w:fill="auto"/>
          </w:tcPr>
          <w:p w14:paraId="0C6AF73E" w14:textId="77777777" w:rsidR="00BC560C" w:rsidRPr="00231709" w:rsidRDefault="00BC560C" w:rsidP="001A06F1">
            <w:pPr>
              <w:pStyle w:val="NormalWeb"/>
              <w:spacing w:before="0" w:beforeAutospacing="0" w:after="150" w:afterAutospacing="0"/>
              <w:rPr>
                <w:sz w:val="20"/>
              </w:rPr>
            </w:pPr>
          </w:p>
        </w:tc>
        <w:tc>
          <w:tcPr>
            <w:tcW w:w="2012" w:type="dxa"/>
            <w:shd w:val="clear" w:color="auto" w:fill="auto"/>
          </w:tcPr>
          <w:p w14:paraId="7E9BC536" w14:textId="77777777" w:rsidR="00BC560C" w:rsidRPr="00231709" w:rsidRDefault="00BC560C" w:rsidP="001A06F1">
            <w:pPr>
              <w:pStyle w:val="NormalWeb"/>
              <w:spacing w:before="0" w:beforeAutospacing="0" w:after="150" w:afterAutospacing="0"/>
              <w:rPr>
                <w:sz w:val="20"/>
              </w:rPr>
            </w:pPr>
            <w:r w:rsidRPr="00231709">
              <w:rPr>
                <w:sz w:val="20"/>
              </w:rPr>
              <w:t>Processos administrativos sanitários</w:t>
            </w:r>
          </w:p>
        </w:tc>
        <w:tc>
          <w:tcPr>
            <w:tcW w:w="2013" w:type="dxa"/>
            <w:shd w:val="clear" w:color="auto" w:fill="auto"/>
          </w:tcPr>
          <w:p w14:paraId="38E99198"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73833A20"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0C59C986" w14:textId="77777777" w:rsidR="00BC560C" w:rsidRPr="00231709" w:rsidRDefault="00BC560C" w:rsidP="001A06F1">
            <w:pPr>
              <w:pStyle w:val="NormalWeb"/>
              <w:spacing w:before="0" w:beforeAutospacing="0" w:after="150" w:afterAutospacing="0"/>
              <w:rPr>
                <w:sz w:val="20"/>
              </w:rPr>
            </w:pPr>
          </w:p>
        </w:tc>
      </w:tr>
      <w:tr w:rsidR="00BC560C" w:rsidRPr="00231709" w14:paraId="0E6D6C60" w14:textId="77777777" w:rsidTr="001A06F1">
        <w:tc>
          <w:tcPr>
            <w:tcW w:w="2012" w:type="dxa"/>
            <w:shd w:val="clear" w:color="auto" w:fill="auto"/>
          </w:tcPr>
          <w:p w14:paraId="49CB23F5" w14:textId="77777777" w:rsidR="00BC560C" w:rsidRPr="00231709" w:rsidRDefault="00BC560C" w:rsidP="001A06F1">
            <w:pPr>
              <w:pStyle w:val="NormalWeb"/>
              <w:spacing w:before="0" w:beforeAutospacing="0" w:after="150" w:afterAutospacing="0"/>
              <w:rPr>
                <w:sz w:val="20"/>
              </w:rPr>
            </w:pPr>
          </w:p>
        </w:tc>
        <w:tc>
          <w:tcPr>
            <w:tcW w:w="2012" w:type="dxa"/>
            <w:shd w:val="clear" w:color="auto" w:fill="auto"/>
          </w:tcPr>
          <w:p w14:paraId="112F49F2" w14:textId="77777777" w:rsidR="00BC560C" w:rsidRPr="00231709" w:rsidRDefault="00BC560C" w:rsidP="001A06F1">
            <w:pPr>
              <w:pStyle w:val="NormalWeb"/>
              <w:spacing w:before="0" w:beforeAutospacing="0" w:after="150" w:afterAutospacing="0"/>
              <w:rPr>
                <w:sz w:val="20"/>
              </w:rPr>
            </w:pPr>
            <w:r w:rsidRPr="00231709">
              <w:rPr>
                <w:sz w:val="20"/>
              </w:rPr>
              <w:t>Processos administrativos disciplinares</w:t>
            </w:r>
          </w:p>
        </w:tc>
        <w:tc>
          <w:tcPr>
            <w:tcW w:w="2013" w:type="dxa"/>
            <w:shd w:val="clear" w:color="auto" w:fill="auto"/>
          </w:tcPr>
          <w:p w14:paraId="5E347785"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1DDA0269"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4F9B287F" w14:textId="77777777" w:rsidR="00BC560C" w:rsidRPr="00231709" w:rsidRDefault="00BC560C" w:rsidP="001A06F1">
            <w:pPr>
              <w:pStyle w:val="NormalWeb"/>
              <w:spacing w:before="0" w:beforeAutospacing="0" w:after="150" w:afterAutospacing="0"/>
              <w:rPr>
                <w:sz w:val="20"/>
              </w:rPr>
            </w:pPr>
          </w:p>
        </w:tc>
      </w:tr>
      <w:tr w:rsidR="00BC560C" w:rsidRPr="00231709" w14:paraId="241786C1" w14:textId="77777777" w:rsidTr="001A06F1">
        <w:tc>
          <w:tcPr>
            <w:tcW w:w="2012" w:type="dxa"/>
            <w:shd w:val="clear" w:color="auto" w:fill="auto"/>
          </w:tcPr>
          <w:p w14:paraId="16E3695B" w14:textId="77777777" w:rsidR="00BC560C" w:rsidRPr="00231709" w:rsidRDefault="00BC560C" w:rsidP="001A06F1">
            <w:pPr>
              <w:pStyle w:val="NormalWeb"/>
              <w:spacing w:before="0" w:beforeAutospacing="0" w:after="150" w:afterAutospacing="0"/>
              <w:rPr>
                <w:sz w:val="20"/>
              </w:rPr>
            </w:pPr>
          </w:p>
        </w:tc>
        <w:tc>
          <w:tcPr>
            <w:tcW w:w="2012" w:type="dxa"/>
            <w:shd w:val="clear" w:color="auto" w:fill="auto"/>
          </w:tcPr>
          <w:p w14:paraId="2D4D90AA" w14:textId="77777777" w:rsidR="00BC560C" w:rsidRPr="00231709" w:rsidRDefault="00BC560C" w:rsidP="001A06F1">
            <w:pPr>
              <w:pStyle w:val="NormalWeb"/>
              <w:spacing w:before="0" w:beforeAutospacing="0" w:after="150" w:afterAutospacing="0"/>
              <w:rPr>
                <w:sz w:val="20"/>
              </w:rPr>
            </w:pPr>
            <w:r w:rsidRPr="00231709">
              <w:rPr>
                <w:sz w:val="20"/>
              </w:rPr>
              <w:t>Processos administrativos de infração</w:t>
            </w:r>
          </w:p>
        </w:tc>
        <w:tc>
          <w:tcPr>
            <w:tcW w:w="2013" w:type="dxa"/>
            <w:shd w:val="clear" w:color="auto" w:fill="auto"/>
          </w:tcPr>
          <w:p w14:paraId="13B3A3F9"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6DA6559B"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212F0675" w14:textId="77777777" w:rsidR="00BC560C" w:rsidRPr="00231709" w:rsidRDefault="00BC560C" w:rsidP="001A06F1">
            <w:pPr>
              <w:pStyle w:val="NormalWeb"/>
              <w:spacing w:before="0" w:beforeAutospacing="0" w:after="150" w:afterAutospacing="0"/>
              <w:rPr>
                <w:sz w:val="20"/>
              </w:rPr>
            </w:pPr>
          </w:p>
        </w:tc>
      </w:tr>
      <w:tr w:rsidR="00BC560C" w:rsidRPr="00231709" w14:paraId="6ABF8D11" w14:textId="77777777" w:rsidTr="001A06F1">
        <w:tc>
          <w:tcPr>
            <w:tcW w:w="2012" w:type="dxa"/>
            <w:shd w:val="clear" w:color="auto" w:fill="auto"/>
          </w:tcPr>
          <w:p w14:paraId="35996232" w14:textId="77777777" w:rsidR="00BC560C" w:rsidRPr="00231709" w:rsidRDefault="00BC560C" w:rsidP="001A06F1">
            <w:pPr>
              <w:pStyle w:val="NormalWeb"/>
              <w:spacing w:before="0" w:beforeAutospacing="0" w:after="150" w:afterAutospacing="0"/>
              <w:rPr>
                <w:sz w:val="20"/>
              </w:rPr>
            </w:pPr>
          </w:p>
        </w:tc>
        <w:tc>
          <w:tcPr>
            <w:tcW w:w="2012" w:type="dxa"/>
            <w:shd w:val="clear" w:color="auto" w:fill="auto"/>
          </w:tcPr>
          <w:p w14:paraId="5858E7F6" w14:textId="77777777" w:rsidR="00BC560C" w:rsidRPr="00231709" w:rsidRDefault="00BC560C" w:rsidP="001A06F1">
            <w:pPr>
              <w:pStyle w:val="NormalWeb"/>
              <w:spacing w:before="0" w:beforeAutospacing="0" w:after="150" w:afterAutospacing="0"/>
              <w:rPr>
                <w:sz w:val="20"/>
              </w:rPr>
            </w:pPr>
            <w:r w:rsidRPr="00231709">
              <w:rPr>
                <w:sz w:val="20"/>
              </w:rPr>
              <w:t>Processos de cobrança administrativa</w:t>
            </w:r>
          </w:p>
        </w:tc>
        <w:tc>
          <w:tcPr>
            <w:tcW w:w="2013" w:type="dxa"/>
            <w:shd w:val="clear" w:color="auto" w:fill="auto"/>
          </w:tcPr>
          <w:p w14:paraId="65C7B35D"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3938DF50" w14:textId="77777777" w:rsidR="00BC560C" w:rsidRPr="00231709" w:rsidRDefault="00BC560C" w:rsidP="001A06F1">
            <w:pPr>
              <w:pStyle w:val="NormalWeb"/>
              <w:spacing w:before="0" w:beforeAutospacing="0" w:after="150" w:afterAutospacing="0"/>
              <w:rPr>
                <w:sz w:val="20"/>
              </w:rPr>
            </w:pPr>
          </w:p>
        </w:tc>
        <w:tc>
          <w:tcPr>
            <w:tcW w:w="2013" w:type="dxa"/>
            <w:shd w:val="clear" w:color="auto" w:fill="auto"/>
          </w:tcPr>
          <w:p w14:paraId="55DBC273" w14:textId="77777777" w:rsidR="00BC560C" w:rsidRPr="00231709" w:rsidRDefault="00BC560C" w:rsidP="001A06F1">
            <w:pPr>
              <w:pStyle w:val="NormalWeb"/>
              <w:spacing w:before="0" w:beforeAutospacing="0" w:after="150" w:afterAutospacing="0"/>
              <w:rPr>
                <w:sz w:val="20"/>
              </w:rPr>
            </w:pPr>
          </w:p>
        </w:tc>
      </w:tr>
    </w:tbl>
    <w:p w14:paraId="5193B677" w14:textId="77777777" w:rsidR="00BC560C" w:rsidRDefault="00BC560C" w:rsidP="00BC560C">
      <w:pPr>
        <w:pStyle w:val="NormalWeb"/>
        <w:spacing w:before="0" w:beforeAutospacing="0" w:after="150" w:afterAutospacing="0"/>
        <w:jc w:val="center"/>
        <w:rPr>
          <w:b/>
          <w:strike/>
        </w:rPr>
      </w:pPr>
    </w:p>
    <w:p w14:paraId="2ACBE5A6" w14:textId="77777777" w:rsidR="00560D87" w:rsidRDefault="00AF03D6" w:rsidP="00BC560C"/>
    <w:sectPr w:rsidR="00560D87">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1E653" w14:textId="77777777" w:rsidR="00B20C2E" w:rsidRDefault="00B20C2E" w:rsidP="00BC560C">
      <w:pPr>
        <w:spacing w:after="0" w:line="240" w:lineRule="auto"/>
      </w:pPr>
      <w:r>
        <w:separator/>
      </w:r>
    </w:p>
  </w:endnote>
  <w:endnote w:type="continuationSeparator" w:id="0">
    <w:p w14:paraId="6388E323" w14:textId="77777777" w:rsidR="00B20C2E" w:rsidRDefault="00B20C2E" w:rsidP="00BC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3457" w14:textId="77777777" w:rsidR="00BC560C" w:rsidRDefault="00BC560C" w:rsidP="00BC560C">
    <w:pPr>
      <w:pStyle w:val="Rodap"/>
      <w:jc w:val="center"/>
    </w:pPr>
    <w:r w:rsidRPr="00FC2EC6">
      <w:rPr>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77C13" w14:textId="77777777" w:rsidR="00B20C2E" w:rsidRDefault="00B20C2E" w:rsidP="00BC560C">
      <w:pPr>
        <w:spacing w:after="0" w:line="240" w:lineRule="auto"/>
      </w:pPr>
      <w:r>
        <w:separator/>
      </w:r>
    </w:p>
  </w:footnote>
  <w:footnote w:type="continuationSeparator" w:id="0">
    <w:p w14:paraId="745A1186" w14:textId="77777777" w:rsidR="00B20C2E" w:rsidRDefault="00B20C2E" w:rsidP="00BC5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262A" w14:textId="77777777" w:rsidR="00BC560C" w:rsidRPr="00782C1E" w:rsidRDefault="00BC560C" w:rsidP="00BC560C">
    <w:pPr>
      <w:tabs>
        <w:tab w:val="center" w:pos="4252"/>
        <w:tab w:val="right" w:pos="8504"/>
      </w:tabs>
      <w:spacing w:after="0" w:line="240" w:lineRule="auto"/>
      <w:jc w:val="center"/>
    </w:pPr>
    <w:r w:rsidRPr="00DE2126">
      <w:rPr>
        <w:noProof/>
        <w:lang w:eastAsia="pt-BR"/>
      </w:rPr>
      <w:drawing>
        <wp:inline distT="0" distB="0" distL="0" distR="0" wp14:anchorId="14462574" wp14:editId="62179227">
          <wp:extent cx="666750" cy="657225"/>
          <wp:effectExtent l="0" t="0" r="0" b="9525"/>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657225"/>
                  </a:xfrm>
                  <a:prstGeom prst="rect">
                    <a:avLst/>
                  </a:prstGeom>
                  <a:noFill/>
                  <a:ln>
                    <a:noFill/>
                  </a:ln>
                </pic:spPr>
              </pic:pic>
            </a:graphicData>
          </a:graphic>
        </wp:inline>
      </w:drawing>
    </w:r>
  </w:p>
  <w:p w14:paraId="68110DC5" w14:textId="77777777" w:rsidR="00BC560C" w:rsidRPr="00782C1E" w:rsidRDefault="00BC560C" w:rsidP="00BC560C">
    <w:pPr>
      <w:tabs>
        <w:tab w:val="center" w:pos="4252"/>
        <w:tab w:val="right" w:pos="8504"/>
      </w:tabs>
      <w:spacing w:after="0" w:line="240" w:lineRule="auto"/>
      <w:jc w:val="center"/>
      <w:rPr>
        <w:b/>
        <w:sz w:val="24"/>
      </w:rPr>
    </w:pPr>
    <w:r w:rsidRPr="00782C1E">
      <w:rPr>
        <w:b/>
        <w:sz w:val="24"/>
      </w:rPr>
      <w:t>Ministério da Saúde - MS</w:t>
    </w:r>
  </w:p>
  <w:p w14:paraId="714A29B6" w14:textId="77777777" w:rsidR="00BC560C" w:rsidRDefault="00BC560C" w:rsidP="00BC560C">
    <w:pPr>
      <w:tabs>
        <w:tab w:val="center" w:pos="4252"/>
        <w:tab w:val="right" w:pos="8504"/>
      </w:tabs>
      <w:spacing w:after="0" w:line="240" w:lineRule="auto"/>
      <w:jc w:val="center"/>
      <w:rPr>
        <w:b/>
        <w:sz w:val="24"/>
      </w:rPr>
    </w:pPr>
    <w:r w:rsidRPr="00782C1E">
      <w:rPr>
        <w:b/>
        <w:sz w:val="24"/>
      </w:rPr>
      <w:t xml:space="preserve">Agência Nacional de Vigilância Sanitária </w:t>
    </w:r>
    <w:r>
      <w:rPr>
        <w:b/>
        <w:sz w:val="24"/>
      </w:rPr>
      <w:t>–</w:t>
    </w:r>
    <w:r w:rsidRPr="00782C1E">
      <w:rPr>
        <w:b/>
        <w:sz w:val="24"/>
      </w:rPr>
      <w:t xml:space="preserve"> ANVISA</w:t>
    </w:r>
  </w:p>
  <w:p w14:paraId="452F2194" w14:textId="77777777" w:rsidR="00BC560C" w:rsidRDefault="00BC560C" w:rsidP="00BC560C">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0C"/>
    <w:rsid w:val="006A7430"/>
    <w:rsid w:val="00AF03D6"/>
    <w:rsid w:val="00B20C2E"/>
    <w:rsid w:val="00BC560C"/>
    <w:rsid w:val="00E74013"/>
    <w:rsid w:val="00F25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ED9818"/>
  <w15:chartTrackingRefBased/>
  <w15:docId w15:val="{44E58739-789F-49BC-B880-73505A66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60C"/>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C560C"/>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BC56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560C"/>
    <w:rPr>
      <w:rFonts w:ascii="Calibri" w:eastAsia="Calibri" w:hAnsi="Calibri" w:cs="Times New Roman"/>
    </w:rPr>
  </w:style>
  <w:style w:type="paragraph" w:styleId="Rodap">
    <w:name w:val="footer"/>
    <w:basedOn w:val="Normal"/>
    <w:link w:val="RodapChar"/>
    <w:uiPriority w:val="99"/>
    <w:unhideWhenUsed/>
    <w:rsid w:val="00BC560C"/>
    <w:pPr>
      <w:tabs>
        <w:tab w:val="center" w:pos="4252"/>
        <w:tab w:val="right" w:pos="8504"/>
      </w:tabs>
      <w:spacing w:after="0" w:line="240" w:lineRule="auto"/>
    </w:pPr>
  </w:style>
  <w:style w:type="character" w:customStyle="1" w:styleId="RodapChar">
    <w:name w:val="Rodapé Char"/>
    <w:basedOn w:val="Fontepargpadro"/>
    <w:link w:val="Rodap"/>
    <w:uiPriority w:val="99"/>
    <w:rsid w:val="00BC560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BA9655-E168-47B0-A9C0-C358DFF16E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8617EE-C74D-40B4-A69F-365542018610}">
  <ds:schemaRefs>
    <ds:schemaRef ds:uri="http://schemas.microsoft.com/sharepoint/v3/contenttype/forms"/>
  </ds:schemaRefs>
</ds:datastoreItem>
</file>

<file path=customXml/itemProps3.xml><?xml version="1.0" encoding="utf-8"?>
<ds:datastoreItem xmlns:ds="http://schemas.openxmlformats.org/officeDocument/2006/customXml" ds:itemID="{3E18A89E-4C5F-4833-9B62-9D5C1D535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687</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 Jussara de Araujo Ferreira</dc:creator>
  <cp:keywords/>
  <dc:description/>
  <cp:lastModifiedBy>Paulo Jose Goncalves Ferreira</cp:lastModifiedBy>
  <cp:revision>3</cp:revision>
  <dcterms:created xsi:type="dcterms:W3CDTF">2018-07-19T17:17:00Z</dcterms:created>
  <dcterms:modified xsi:type="dcterms:W3CDTF">2019-02-04T10:07:00Z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