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6AE" w:rsidRDefault="00EB06AE" w:rsidP="00AD27DD">
      <w:pPr>
        <w:pStyle w:val="Ttulo1"/>
        <w:spacing w:before="0" w:beforeAutospacing="0" w:after="200" w:afterAutospacing="0"/>
        <w:ind w:left="-567" w:right="-568"/>
        <w:rPr>
          <w:rFonts w:ascii="Times New Roman" w:hAnsi="Times New Roman" w:cs="Times New Roman"/>
          <w:sz w:val="24"/>
          <w:szCs w:val="24"/>
        </w:rPr>
      </w:pPr>
      <w:r w:rsidRPr="00AD27DD">
        <w:rPr>
          <w:rFonts w:ascii="Times New Roman" w:hAnsi="Times New Roman" w:cs="Times New Roman"/>
          <w:sz w:val="24"/>
          <w:szCs w:val="24"/>
        </w:rPr>
        <w:t>RESOLUÇÃO DA DIRE</w:t>
      </w:r>
      <w:r w:rsidR="00AD27DD">
        <w:rPr>
          <w:rFonts w:ascii="Times New Roman" w:hAnsi="Times New Roman" w:cs="Times New Roman"/>
          <w:sz w:val="24"/>
          <w:szCs w:val="24"/>
        </w:rPr>
        <w:t xml:space="preserve">TORIA COLEGIADA – RDC Nº 7, DE </w:t>
      </w:r>
      <w:r w:rsidRPr="00AD27DD">
        <w:rPr>
          <w:rFonts w:ascii="Times New Roman" w:hAnsi="Times New Roman" w:cs="Times New Roman"/>
          <w:sz w:val="24"/>
          <w:szCs w:val="24"/>
        </w:rPr>
        <w:t>6 DE MARÇO DE 2013</w:t>
      </w:r>
    </w:p>
    <w:p w:rsidR="00AD27DD" w:rsidRPr="00AD27DD" w:rsidRDefault="00AD27DD" w:rsidP="00AD27DD">
      <w:pPr>
        <w:pStyle w:val="Ttulo1"/>
        <w:spacing w:before="0" w:beforeAutospacing="0" w:after="200" w:afterAutospacing="0"/>
        <w:rPr>
          <w:rFonts w:ascii="Times New Roman" w:hAnsi="Times New Roman" w:cs="Times New Roman"/>
          <w:color w:val="0000FF"/>
          <w:sz w:val="24"/>
          <w:szCs w:val="24"/>
        </w:rPr>
      </w:pPr>
      <w:r w:rsidRPr="00AD27DD">
        <w:rPr>
          <w:rFonts w:ascii="Times New Roman" w:hAnsi="Times New Roman" w:cs="Times New Roman"/>
          <w:caps w:val="0"/>
          <w:color w:val="0000FF"/>
          <w:sz w:val="24"/>
          <w:szCs w:val="24"/>
        </w:rPr>
        <w:t>(Publicada no DOU nº 46, de 8 de março de 2013)</w:t>
      </w:r>
    </w:p>
    <w:p w:rsidR="00EB06AE" w:rsidRPr="00AD27DD" w:rsidRDefault="00EB06AE" w:rsidP="00AD27DD">
      <w:pPr>
        <w:autoSpaceDE w:val="0"/>
        <w:autoSpaceDN w:val="0"/>
        <w:adjustRightInd w:val="0"/>
        <w:spacing w:before="0" w:beforeAutospacing="0" w:after="200" w:afterAutospacing="0"/>
        <w:ind w:left="3969"/>
        <w:jc w:val="both"/>
      </w:pPr>
      <w:r w:rsidRPr="00AD27DD">
        <w:t>Dispõe sobre a aprovação de uso de coadjuvantes de tecnologia para fabricação de produtos de frutas e de vegetais (incluindo cogumelos comestíveis).</w:t>
      </w:r>
    </w:p>
    <w:p w:rsidR="00EB06AE" w:rsidRPr="00AD27DD" w:rsidRDefault="00EB06AE" w:rsidP="00AD27DD">
      <w:pPr>
        <w:spacing w:before="0" w:beforeAutospacing="0" w:after="200" w:afterAutospacing="0"/>
        <w:ind w:firstLine="567"/>
        <w:jc w:val="both"/>
        <w:rPr>
          <w:color w:val="000000" w:themeColor="text1"/>
        </w:rPr>
      </w:pPr>
      <w:r w:rsidRPr="00AD27DD">
        <w:rPr>
          <w:color w:val="000000" w:themeColor="text1"/>
        </w:rPr>
        <w:t xml:space="preserve">A </w:t>
      </w:r>
      <w:r w:rsidRPr="00AD27DD">
        <w:rPr>
          <w:b/>
          <w:bCs/>
          <w:color w:val="000000" w:themeColor="text1"/>
        </w:rPr>
        <w:t>Diretoria Colegiada da Agência Nacional de Vigilância Sanitária</w:t>
      </w:r>
      <w:r w:rsidRPr="00AD27DD">
        <w:rPr>
          <w:color w:val="000000" w:themeColor="text1"/>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21 de fevereiro de 2013, adota a seguinte Resolução da Diretoria Colegiada e eu, Diretor-Presidente, determino a sua publicação:</w:t>
      </w:r>
    </w:p>
    <w:p w:rsidR="00EB06AE" w:rsidRPr="00AD27DD" w:rsidRDefault="00EB06AE" w:rsidP="00AD27DD">
      <w:pPr>
        <w:autoSpaceDE w:val="0"/>
        <w:autoSpaceDN w:val="0"/>
        <w:adjustRightInd w:val="0"/>
        <w:spacing w:before="0" w:beforeAutospacing="0" w:after="200" w:afterAutospacing="0"/>
        <w:ind w:firstLine="567"/>
        <w:jc w:val="both"/>
      </w:pPr>
      <w:r w:rsidRPr="00AD27DD">
        <w:t>Art. 1º Fica aprovada a lista positiva de coadjuvantes de tecnologia com suas respectivas funções para a fabricação de produtos de frutas e de vegetais (incluindo cogumelos comestíveis), que consta no Anexo da presente Resolução.</w:t>
      </w:r>
    </w:p>
    <w:p w:rsidR="00EB06AE" w:rsidRPr="00AD27DD" w:rsidRDefault="00EB06AE" w:rsidP="00AD27DD">
      <w:pPr>
        <w:spacing w:before="0" w:beforeAutospacing="0" w:after="200" w:afterAutospacing="0"/>
        <w:ind w:firstLine="567"/>
        <w:jc w:val="both"/>
      </w:pPr>
      <w:r w:rsidRPr="00AD27DD">
        <w:t>Art. 2º As enzimas e preparações enzimáticas podem ser utilizadas no processo de produção de produtos de frutas e de vegetais (incluindo cogumelos comestíveis) como coadjuvantes de tecnologia, desde que previstas em Regulamento Técnico específico, inclusive suas fontes de obtenção, e que atendam às especificações estabelecidas neste regulamento.</w:t>
      </w:r>
    </w:p>
    <w:p w:rsidR="00EB06AE" w:rsidRPr="00AD27DD" w:rsidRDefault="00EB06AE" w:rsidP="00AD27DD">
      <w:pPr>
        <w:spacing w:before="0" w:beforeAutospacing="0" w:after="200" w:afterAutospacing="0"/>
        <w:ind w:firstLine="567"/>
        <w:jc w:val="both"/>
      </w:pPr>
      <w:r w:rsidRPr="00AD27DD">
        <w:t>Art. 3º As empresas terão o prazo de 24 (vinte e quatro) meses contados a partir da data de publicação desta Resolução para promover as adequações necessárias ao cumprimento do disposto neste Regulamento Técnico.</w:t>
      </w:r>
    </w:p>
    <w:p w:rsidR="00EB06AE" w:rsidRPr="00AD27DD" w:rsidRDefault="00EB06AE" w:rsidP="00AD27DD">
      <w:pPr>
        <w:spacing w:before="0" w:beforeAutospacing="0" w:after="200" w:afterAutospacing="0"/>
        <w:ind w:firstLine="567"/>
        <w:jc w:val="both"/>
      </w:pPr>
      <w:r w:rsidRPr="00AD27DD">
        <w:t>§ 1º Os produtos fabricados até o fim do prazo para adequação estabelecido no caput deste artigo podem ser comercializados até o fim de seus prazos de validade.</w:t>
      </w:r>
    </w:p>
    <w:p w:rsidR="00EB06AE" w:rsidRPr="00AD27DD" w:rsidRDefault="00EB06AE" w:rsidP="00AD27DD">
      <w:pPr>
        <w:spacing w:before="0" w:beforeAutospacing="0" w:after="200" w:afterAutospacing="0"/>
        <w:ind w:firstLine="567"/>
        <w:jc w:val="both"/>
      </w:pPr>
      <w:r w:rsidRPr="00AD27DD">
        <w:t>§ 2º A partir da publicação desta Resolução, os novos produtos e os produtos reformulados devem atender na íntegra ao disposto neste Regulamento Técnico.</w:t>
      </w:r>
    </w:p>
    <w:p w:rsidR="00EB06AE" w:rsidRPr="00AD27DD" w:rsidRDefault="00EB06AE" w:rsidP="00AD27DD">
      <w:pPr>
        <w:spacing w:before="0" w:beforeAutospacing="0" w:after="200" w:afterAutospacing="0"/>
        <w:ind w:firstLine="567"/>
        <w:jc w:val="both"/>
        <w:rPr>
          <w:rStyle w:val="A0"/>
        </w:rPr>
      </w:pPr>
      <w:r w:rsidRPr="00AD27DD">
        <w:t xml:space="preserve">Art. 4º </w:t>
      </w:r>
      <w:r w:rsidRPr="00AD27DD">
        <w:rPr>
          <w:rStyle w:val="A0"/>
        </w:rPr>
        <w:t>O descumprimento das disposições contidas nesta Resolução constitui infração sanitária nos termos da Lei n. 6.437, de 20 de agosto de 1977, sem prejuízo das responsabilidades civil, administrativa e penal cabíveis.</w:t>
      </w:r>
    </w:p>
    <w:p w:rsidR="00EB06AE" w:rsidRPr="00AD27DD" w:rsidRDefault="00EB06AE" w:rsidP="00AD27DD">
      <w:pPr>
        <w:spacing w:before="0" w:beforeAutospacing="0" w:after="200" w:afterAutospacing="0"/>
        <w:ind w:firstLine="567"/>
        <w:jc w:val="both"/>
        <w:rPr>
          <w:rStyle w:val="A0"/>
        </w:rPr>
      </w:pPr>
      <w:r w:rsidRPr="00AD27DD">
        <w:t>Art. 5º Fica revogada a Resolução RDC n. 2 de 08 de janeiro de 2004 (</w:t>
      </w:r>
      <w:proofErr w:type="spellStart"/>
      <w:r w:rsidRPr="00AD27DD">
        <w:t>hortifrutícolas</w:t>
      </w:r>
      <w:proofErr w:type="spellEnd"/>
      <w:r w:rsidRPr="00AD27DD">
        <w:t>), publicada no DOU de 9 de janeiro de 2004, Seção 1, pág. 28</w:t>
      </w:r>
    </w:p>
    <w:p w:rsidR="00EB06AE" w:rsidRPr="00AD27DD" w:rsidRDefault="00EB06AE" w:rsidP="00AD27DD">
      <w:pPr>
        <w:pStyle w:val="Ttulo2"/>
        <w:spacing w:before="0" w:beforeAutospacing="0" w:after="200" w:afterAutospacing="0"/>
        <w:rPr>
          <w:rFonts w:ascii="Times New Roman" w:hAnsi="Times New Roman" w:cs="Times New Roman"/>
          <w:b w:val="0"/>
          <w:sz w:val="24"/>
          <w:szCs w:val="24"/>
        </w:rPr>
      </w:pPr>
      <w:r w:rsidRPr="00AD27DD">
        <w:rPr>
          <w:rFonts w:ascii="Times New Roman" w:hAnsi="Times New Roman" w:cs="Times New Roman"/>
          <w:b w:val="0"/>
          <w:sz w:val="24"/>
          <w:szCs w:val="24"/>
        </w:rPr>
        <w:t>DIRCEU BRÁS APARECIDO BARBANO</w:t>
      </w:r>
    </w:p>
    <w:p w:rsidR="00EB06AE" w:rsidRPr="00AD27DD" w:rsidRDefault="00EB06AE" w:rsidP="00AD27DD">
      <w:pPr>
        <w:pStyle w:val="Cabealho"/>
        <w:spacing w:after="200"/>
        <w:jc w:val="center"/>
        <w:rPr>
          <w:rFonts w:ascii="Times New Roman" w:hAnsi="Times New Roman"/>
          <w:b/>
          <w:szCs w:val="24"/>
          <w:lang w:val="pt-BR"/>
        </w:rPr>
      </w:pPr>
      <w:r w:rsidRPr="00AD27DD">
        <w:rPr>
          <w:rFonts w:ascii="Times New Roman" w:hAnsi="Times New Roman"/>
          <w:b/>
          <w:szCs w:val="24"/>
          <w:lang w:val="pt-BR"/>
        </w:rPr>
        <w:lastRenderedPageBreak/>
        <w:t>ANEXO</w:t>
      </w:r>
    </w:p>
    <w:p w:rsidR="00EB06AE" w:rsidRDefault="00EB06AE" w:rsidP="00AD27DD">
      <w:pPr>
        <w:pStyle w:val="Cabealho"/>
        <w:spacing w:after="200"/>
        <w:jc w:val="center"/>
        <w:rPr>
          <w:rFonts w:ascii="Times New Roman" w:hAnsi="Times New Roman"/>
          <w:b/>
          <w:szCs w:val="24"/>
          <w:lang w:val="pt-BR"/>
        </w:rPr>
      </w:pPr>
      <w:r w:rsidRPr="00AD27DD">
        <w:rPr>
          <w:rFonts w:ascii="Times New Roman" w:hAnsi="Times New Roman"/>
          <w:b/>
          <w:szCs w:val="24"/>
          <w:lang w:val="pt-BR"/>
        </w:rPr>
        <w:t>ATRIBUIÇÃO DE COADJUVANTES DE TECNOLOGIA COM SUAS RESPECTIVAS FUNÇÕES PARA PRODUTOS DE FRUTAS E DE VEGETAIS</w:t>
      </w:r>
    </w:p>
    <w:p w:rsidR="00AD27DD" w:rsidRPr="00AD27DD" w:rsidRDefault="00AD27DD" w:rsidP="00AD27DD">
      <w:pPr>
        <w:pStyle w:val="Cabealho"/>
        <w:spacing w:after="200"/>
        <w:jc w:val="center"/>
        <w:rPr>
          <w:rFonts w:ascii="Times New Roman" w:hAnsi="Times New Roman"/>
          <w:b/>
          <w:szCs w:val="24"/>
          <w:lang w:val="pt-BR"/>
        </w:rPr>
      </w:pPr>
      <w:bookmarkStart w:id="0" w:name="_GoBack"/>
      <w:bookmarkEnd w:id="0"/>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3229"/>
        <w:gridCol w:w="1784"/>
      </w:tblGrid>
      <w:tr w:rsidR="00EB06AE" w:rsidRPr="00AD27DD" w:rsidTr="00750327">
        <w:trPr>
          <w:jc w:val="center"/>
        </w:trPr>
        <w:tc>
          <w:tcPr>
            <w:tcW w:w="1316" w:type="pct"/>
            <w:vAlign w:val="center"/>
          </w:tcPr>
          <w:p w:rsidR="00EB06AE" w:rsidRPr="00AD27DD" w:rsidRDefault="00EB06AE" w:rsidP="00AD27DD">
            <w:pPr>
              <w:spacing w:before="0" w:beforeAutospacing="0" w:after="200" w:afterAutospacing="0"/>
              <w:jc w:val="center"/>
              <w:rPr>
                <w:b/>
              </w:rPr>
            </w:pPr>
            <w:r w:rsidRPr="00AD27DD">
              <w:rPr>
                <w:b/>
              </w:rPr>
              <w:t>Função</w:t>
            </w:r>
          </w:p>
        </w:tc>
        <w:tc>
          <w:tcPr>
            <w:tcW w:w="2373" w:type="pct"/>
            <w:vAlign w:val="center"/>
          </w:tcPr>
          <w:p w:rsidR="00EB06AE" w:rsidRPr="00AD27DD" w:rsidRDefault="00EB06AE" w:rsidP="00AD27DD">
            <w:pPr>
              <w:spacing w:before="0" w:beforeAutospacing="0" w:after="200" w:afterAutospacing="0"/>
              <w:jc w:val="center"/>
              <w:rPr>
                <w:b/>
              </w:rPr>
            </w:pPr>
            <w:r w:rsidRPr="00AD27DD">
              <w:rPr>
                <w:b/>
              </w:rPr>
              <w:t>Coadjuvante de Tecnologia</w:t>
            </w:r>
          </w:p>
        </w:tc>
        <w:tc>
          <w:tcPr>
            <w:tcW w:w="1311" w:type="pct"/>
            <w:vAlign w:val="center"/>
          </w:tcPr>
          <w:p w:rsidR="00EB06AE" w:rsidRPr="00AD27DD" w:rsidRDefault="00EB06AE" w:rsidP="00AD27DD">
            <w:pPr>
              <w:spacing w:before="0" w:beforeAutospacing="0" w:after="200" w:afterAutospacing="0"/>
              <w:jc w:val="center"/>
              <w:rPr>
                <w:b/>
              </w:rPr>
            </w:pPr>
            <w:r w:rsidRPr="00AD27DD">
              <w:rPr>
                <w:b/>
              </w:rPr>
              <w:t>Alimentos</w:t>
            </w:r>
          </w:p>
        </w:tc>
      </w:tr>
      <w:tr w:rsidR="00EB06AE" w:rsidRPr="00AD27DD" w:rsidTr="00750327">
        <w:trPr>
          <w:jc w:val="center"/>
        </w:trPr>
        <w:tc>
          <w:tcPr>
            <w:tcW w:w="1316" w:type="pct"/>
            <w:vMerge w:val="restart"/>
            <w:vAlign w:val="center"/>
          </w:tcPr>
          <w:p w:rsidR="00EB06AE" w:rsidRPr="00AD27DD" w:rsidRDefault="00EB06AE" w:rsidP="00AD27DD">
            <w:pPr>
              <w:spacing w:before="0" w:beforeAutospacing="0" w:after="200" w:afterAutospacing="0"/>
            </w:pPr>
            <w:r w:rsidRPr="00AD27DD">
              <w:t>Gás propelente para embalagem</w:t>
            </w:r>
          </w:p>
        </w:tc>
        <w:tc>
          <w:tcPr>
            <w:tcW w:w="2373" w:type="pct"/>
            <w:vAlign w:val="center"/>
          </w:tcPr>
          <w:p w:rsidR="00EB06AE" w:rsidRPr="00AD27DD" w:rsidRDefault="00EB06AE" w:rsidP="00AD27DD">
            <w:pPr>
              <w:spacing w:before="0" w:beforeAutospacing="0" w:after="200" w:afterAutospacing="0"/>
            </w:pPr>
            <w:r w:rsidRPr="00AD27DD">
              <w:t>Nitrogênio</w:t>
            </w:r>
          </w:p>
        </w:tc>
        <w:tc>
          <w:tcPr>
            <w:tcW w:w="1311" w:type="pct"/>
            <w:vMerge w:val="restart"/>
            <w:vAlign w:val="center"/>
          </w:tcPr>
          <w:p w:rsidR="00EB06AE" w:rsidRPr="00AD27DD" w:rsidRDefault="00EB06AE" w:rsidP="00AD27DD">
            <w:pPr>
              <w:spacing w:before="0" w:beforeAutospacing="0" w:after="200" w:afterAutospacing="0"/>
              <w:rPr>
                <w:b/>
              </w:rPr>
            </w:pPr>
            <w:r w:rsidRPr="00AD27DD">
              <w:t>Suco, néctar, polpa de fruta e suco tropical</w:t>
            </w: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Dióxido de carbono</w:t>
            </w:r>
          </w:p>
        </w:tc>
        <w:tc>
          <w:tcPr>
            <w:tcW w:w="1311" w:type="pct"/>
            <w:vMerge/>
            <w:vAlign w:val="center"/>
          </w:tcPr>
          <w:p w:rsidR="00EB06AE" w:rsidRPr="00AD27DD" w:rsidRDefault="00EB06AE" w:rsidP="00AD27DD">
            <w:pPr>
              <w:spacing w:before="0" w:beforeAutospacing="0" w:after="200" w:afterAutospacing="0"/>
              <w:rPr>
                <w:b/>
              </w:rPr>
            </w:pPr>
          </w:p>
        </w:tc>
      </w:tr>
      <w:tr w:rsidR="00EB06AE" w:rsidRPr="00AD27DD" w:rsidTr="00750327">
        <w:trPr>
          <w:jc w:val="center"/>
        </w:trPr>
        <w:tc>
          <w:tcPr>
            <w:tcW w:w="1316" w:type="pct"/>
            <w:vMerge w:val="restart"/>
            <w:vAlign w:val="center"/>
          </w:tcPr>
          <w:p w:rsidR="00EB06AE" w:rsidRPr="00AD27DD" w:rsidRDefault="00EB06AE" w:rsidP="00AD27DD">
            <w:pPr>
              <w:spacing w:before="0" w:beforeAutospacing="0" w:after="200" w:afterAutospacing="0"/>
            </w:pPr>
            <w:r w:rsidRPr="00AD27DD">
              <w:t>Agentes de clarificação/ filtração</w:t>
            </w:r>
          </w:p>
          <w:p w:rsidR="00EB06AE" w:rsidRPr="00AD27DD" w:rsidRDefault="00EB06AE" w:rsidP="00AD27DD">
            <w:pPr>
              <w:spacing w:before="0" w:beforeAutospacing="0" w:after="200" w:afterAutospacing="0"/>
            </w:pPr>
            <w:r w:rsidRPr="00AD27DD">
              <w:t>Agentes de floculação</w:t>
            </w:r>
          </w:p>
        </w:tc>
        <w:tc>
          <w:tcPr>
            <w:tcW w:w="2373" w:type="pct"/>
            <w:vAlign w:val="center"/>
          </w:tcPr>
          <w:p w:rsidR="00EB06AE" w:rsidRPr="00AD27DD" w:rsidRDefault="00EB06AE" w:rsidP="00AD27DD">
            <w:pPr>
              <w:spacing w:before="0" w:beforeAutospacing="0" w:after="200" w:afterAutospacing="0"/>
            </w:pPr>
            <w:r w:rsidRPr="00AD27DD">
              <w:t>Argila adsorvente</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Resinas adsorventes</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Carvão ativado (somente de origem vegetal)</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proofErr w:type="spellStart"/>
            <w:r w:rsidRPr="00AD27DD">
              <w:t>Bentonita</w:t>
            </w:r>
            <w:proofErr w:type="spellEnd"/>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Hidróxido de cálcio (somente para sucos de uva)</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Celulose</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Sílica coloidal</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Terra diatomácea</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Resinas de troca iônica</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rPr>
                <w:b/>
              </w:rPr>
            </w:pPr>
          </w:p>
        </w:tc>
        <w:tc>
          <w:tcPr>
            <w:tcW w:w="2373" w:type="pct"/>
            <w:vAlign w:val="center"/>
          </w:tcPr>
          <w:p w:rsidR="00EB06AE" w:rsidRPr="00AD27DD" w:rsidRDefault="00EB06AE" w:rsidP="00AD27DD">
            <w:pPr>
              <w:spacing w:before="0" w:beforeAutospacing="0" w:after="200" w:afterAutospacing="0"/>
            </w:pPr>
            <w:proofErr w:type="spellStart"/>
            <w:r w:rsidRPr="00AD27DD">
              <w:t>Caolin</w:t>
            </w:r>
            <w:proofErr w:type="spellEnd"/>
            <w:r w:rsidRPr="00AD27DD">
              <w:t xml:space="preserve"> </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rPr>
                <w:b/>
              </w:rPr>
            </w:pPr>
          </w:p>
        </w:tc>
        <w:tc>
          <w:tcPr>
            <w:tcW w:w="2373" w:type="pct"/>
            <w:vAlign w:val="center"/>
          </w:tcPr>
          <w:p w:rsidR="00EB06AE" w:rsidRPr="00AD27DD" w:rsidRDefault="00EB06AE" w:rsidP="00AD27DD">
            <w:pPr>
              <w:spacing w:before="0" w:beforeAutospacing="0" w:after="200" w:afterAutospacing="0"/>
            </w:pPr>
            <w:proofErr w:type="spellStart"/>
            <w:r w:rsidRPr="00AD27DD">
              <w:t>Perlita</w:t>
            </w:r>
            <w:proofErr w:type="spellEnd"/>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rPr>
                <w:b/>
              </w:rPr>
            </w:pPr>
          </w:p>
        </w:tc>
        <w:tc>
          <w:tcPr>
            <w:tcW w:w="2373" w:type="pct"/>
            <w:vAlign w:val="center"/>
          </w:tcPr>
          <w:p w:rsidR="00EB06AE" w:rsidRPr="00AD27DD" w:rsidRDefault="00EB06AE" w:rsidP="00AD27DD">
            <w:pPr>
              <w:spacing w:before="0" w:beforeAutospacing="0" w:after="200" w:afterAutospacing="0"/>
            </w:pPr>
            <w:proofErr w:type="spellStart"/>
            <w:r w:rsidRPr="00AD27DD">
              <w:t>Polivinilpolipirrolidona</w:t>
            </w:r>
            <w:proofErr w:type="spellEnd"/>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rPr>
                <w:b/>
              </w:rPr>
            </w:pPr>
          </w:p>
        </w:tc>
        <w:tc>
          <w:tcPr>
            <w:tcW w:w="2373" w:type="pct"/>
            <w:vAlign w:val="center"/>
          </w:tcPr>
          <w:p w:rsidR="00EB06AE" w:rsidRPr="00AD27DD" w:rsidRDefault="00EB06AE" w:rsidP="00AD27DD">
            <w:pPr>
              <w:spacing w:before="0" w:beforeAutospacing="0" w:after="200" w:afterAutospacing="0"/>
            </w:pPr>
            <w:r w:rsidRPr="00AD27DD">
              <w:t>Carbonato de cálcio precipitado (somente para sucos de uva)</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rPr>
                <w:b/>
              </w:rPr>
            </w:pPr>
          </w:p>
        </w:tc>
        <w:tc>
          <w:tcPr>
            <w:tcW w:w="2373" w:type="pct"/>
            <w:vAlign w:val="center"/>
          </w:tcPr>
          <w:p w:rsidR="00EB06AE" w:rsidRPr="00AD27DD" w:rsidRDefault="00EB06AE" w:rsidP="00AD27DD">
            <w:pPr>
              <w:spacing w:before="0" w:beforeAutospacing="0" w:after="200" w:afterAutospacing="0"/>
            </w:pPr>
            <w:r w:rsidRPr="00AD27DD">
              <w:t>Casca de arroz</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rPr>
                <w:b/>
              </w:rPr>
            </w:pPr>
          </w:p>
        </w:tc>
        <w:tc>
          <w:tcPr>
            <w:tcW w:w="2373" w:type="pct"/>
            <w:vAlign w:val="center"/>
          </w:tcPr>
          <w:p w:rsidR="00EB06AE" w:rsidRPr="00AD27DD" w:rsidRDefault="00EB06AE" w:rsidP="00AD27DD">
            <w:pPr>
              <w:spacing w:before="0" w:beforeAutospacing="0" w:after="200" w:afterAutospacing="0"/>
            </w:pPr>
            <w:r w:rsidRPr="00AD27DD">
              <w:t>Tanino (ácido tânico)</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Gelatina</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Ictiocola (cola de peixe)</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Merge/>
            <w:vAlign w:val="center"/>
          </w:tcPr>
          <w:p w:rsidR="00EB06AE" w:rsidRPr="00AD27DD" w:rsidRDefault="00EB06AE" w:rsidP="00AD27DD">
            <w:pPr>
              <w:spacing w:before="0" w:beforeAutospacing="0" w:after="200" w:afterAutospacing="0"/>
            </w:pPr>
          </w:p>
        </w:tc>
        <w:tc>
          <w:tcPr>
            <w:tcW w:w="2373" w:type="pct"/>
            <w:vAlign w:val="center"/>
          </w:tcPr>
          <w:p w:rsidR="00EB06AE" w:rsidRPr="00AD27DD" w:rsidRDefault="00EB06AE" w:rsidP="00AD27DD">
            <w:pPr>
              <w:spacing w:before="0" w:beforeAutospacing="0" w:after="200" w:afterAutospacing="0"/>
            </w:pPr>
            <w:r w:rsidRPr="00AD27DD">
              <w:t>Proteína de trigo – 70%</w:t>
            </w:r>
          </w:p>
        </w:tc>
        <w:tc>
          <w:tcPr>
            <w:tcW w:w="1311" w:type="pct"/>
            <w:vMerge/>
            <w:vAlign w:val="center"/>
          </w:tcPr>
          <w:p w:rsidR="00EB06AE" w:rsidRPr="00AD27DD" w:rsidRDefault="00EB06AE" w:rsidP="00AD27DD">
            <w:pPr>
              <w:spacing w:before="0" w:beforeAutospacing="0" w:after="200" w:afterAutospacing="0"/>
            </w:pPr>
          </w:p>
        </w:tc>
      </w:tr>
      <w:tr w:rsidR="00EB06AE" w:rsidRPr="00AD27DD" w:rsidTr="00750327">
        <w:trPr>
          <w:jc w:val="center"/>
        </w:trPr>
        <w:tc>
          <w:tcPr>
            <w:tcW w:w="1316" w:type="pct"/>
            <w:vAlign w:val="center"/>
          </w:tcPr>
          <w:p w:rsidR="00EB06AE" w:rsidRPr="00AD27DD" w:rsidRDefault="00EB06AE" w:rsidP="00AD27DD">
            <w:pPr>
              <w:spacing w:before="0" w:beforeAutospacing="0" w:after="200" w:afterAutospacing="0"/>
            </w:pPr>
            <w:r w:rsidRPr="00AD27DD">
              <w:t xml:space="preserve">Lubrificante, agente de moldagem ou </w:t>
            </w:r>
            <w:proofErr w:type="spellStart"/>
            <w:r w:rsidRPr="00AD27DD">
              <w:t>desmoldagem</w:t>
            </w:r>
            <w:proofErr w:type="spellEnd"/>
          </w:p>
        </w:tc>
        <w:tc>
          <w:tcPr>
            <w:tcW w:w="2373" w:type="pct"/>
            <w:vAlign w:val="center"/>
          </w:tcPr>
          <w:p w:rsidR="00EB06AE" w:rsidRPr="00AD27DD" w:rsidRDefault="00EB06AE" w:rsidP="00AD27DD">
            <w:pPr>
              <w:spacing w:before="0" w:beforeAutospacing="0" w:after="200" w:afterAutospacing="0"/>
            </w:pPr>
            <w:r w:rsidRPr="00AD27DD">
              <w:t>Lecitinas</w:t>
            </w:r>
          </w:p>
        </w:tc>
        <w:tc>
          <w:tcPr>
            <w:tcW w:w="1311" w:type="pct"/>
            <w:vAlign w:val="center"/>
          </w:tcPr>
          <w:p w:rsidR="00EB06AE" w:rsidRPr="00AD27DD" w:rsidRDefault="00EB06AE" w:rsidP="00AD27DD">
            <w:pPr>
              <w:spacing w:before="0" w:beforeAutospacing="0" w:after="200" w:afterAutospacing="0"/>
            </w:pPr>
            <w:r w:rsidRPr="00AD27DD">
              <w:t>Frutas secas ou desidratadas</w:t>
            </w:r>
          </w:p>
        </w:tc>
      </w:tr>
      <w:tr w:rsidR="00EB06AE" w:rsidRPr="00AD27DD" w:rsidTr="00750327">
        <w:trPr>
          <w:jc w:val="center"/>
        </w:trPr>
        <w:tc>
          <w:tcPr>
            <w:tcW w:w="1316" w:type="pct"/>
            <w:vAlign w:val="center"/>
          </w:tcPr>
          <w:p w:rsidR="00EB06AE" w:rsidRPr="00AD27DD" w:rsidRDefault="00EB06AE" w:rsidP="00AD27DD">
            <w:pPr>
              <w:spacing w:before="0" w:beforeAutospacing="0" w:after="200" w:afterAutospacing="0"/>
            </w:pPr>
            <w:r w:rsidRPr="00AD27DD">
              <w:t>Agente de inibição enzimática</w:t>
            </w:r>
          </w:p>
        </w:tc>
        <w:tc>
          <w:tcPr>
            <w:tcW w:w="2373" w:type="pct"/>
            <w:vAlign w:val="center"/>
          </w:tcPr>
          <w:p w:rsidR="00EB06AE" w:rsidRPr="00AD27DD" w:rsidRDefault="00EB06AE" w:rsidP="00AD27DD">
            <w:pPr>
              <w:spacing w:before="0" w:beforeAutospacing="0" w:after="200" w:afterAutospacing="0"/>
            </w:pPr>
            <w:r w:rsidRPr="00AD27DD">
              <w:t>Bicarbonato de sódio</w:t>
            </w:r>
          </w:p>
        </w:tc>
        <w:tc>
          <w:tcPr>
            <w:tcW w:w="1311" w:type="pct"/>
            <w:vAlign w:val="center"/>
          </w:tcPr>
          <w:p w:rsidR="00EB06AE" w:rsidRPr="00AD27DD" w:rsidRDefault="00EB06AE" w:rsidP="00AD27DD">
            <w:pPr>
              <w:spacing w:before="0" w:beforeAutospacing="0" w:after="200" w:afterAutospacing="0"/>
            </w:pPr>
            <w:r w:rsidRPr="00AD27DD">
              <w:t>Vegetais descascados e ou picados, congelados ou não (incluindo cogumelos comestíveis)</w:t>
            </w:r>
          </w:p>
        </w:tc>
      </w:tr>
    </w:tbl>
    <w:p w:rsidR="00EB06AE" w:rsidRPr="00AD27DD" w:rsidRDefault="00EB06AE" w:rsidP="00AD27DD">
      <w:pPr>
        <w:spacing w:before="0" w:beforeAutospacing="0" w:after="200" w:afterAutospacing="0"/>
        <w:rPr>
          <w:b/>
          <w:bCs/>
          <w:color w:val="003366"/>
        </w:rPr>
      </w:pPr>
    </w:p>
    <w:p w:rsidR="00203E1E" w:rsidRPr="00AD27DD" w:rsidRDefault="00203E1E" w:rsidP="00AD27DD">
      <w:pPr>
        <w:spacing w:before="0" w:beforeAutospacing="0" w:after="200" w:afterAutospacing="0"/>
      </w:pPr>
    </w:p>
    <w:sectPr w:rsidR="00203E1E" w:rsidRPr="00AD27D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7DD" w:rsidRDefault="00AD27DD" w:rsidP="00AD27DD">
      <w:pPr>
        <w:spacing w:before="0" w:after="0"/>
      </w:pPr>
      <w:r>
        <w:separator/>
      </w:r>
    </w:p>
  </w:endnote>
  <w:endnote w:type="continuationSeparator" w:id="0">
    <w:p w:rsidR="00AD27DD" w:rsidRDefault="00AD27DD" w:rsidP="00AD27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7DD" w:rsidRPr="00AD27DD" w:rsidRDefault="00AD27DD" w:rsidP="00AD27DD">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7DD" w:rsidRDefault="00AD27DD" w:rsidP="00AD27DD">
      <w:pPr>
        <w:spacing w:before="0" w:after="0"/>
      </w:pPr>
      <w:r>
        <w:separator/>
      </w:r>
    </w:p>
  </w:footnote>
  <w:footnote w:type="continuationSeparator" w:id="0">
    <w:p w:rsidR="00AD27DD" w:rsidRDefault="00AD27DD" w:rsidP="00AD27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7DD" w:rsidRPr="00AD27DD" w:rsidRDefault="00AD27DD" w:rsidP="00AD27DD">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AD27DD">
      <w:rPr>
        <w:rFonts w:ascii="Calibri" w:eastAsia="Times New Roman" w:hAnsi="Calibri"/>
        <w:noProof/>
        <w:sz w:val="22"/>
        <w:szCs w:val="22"/>
      </w:rPr>
      <w:drawing>
        <wp:inline distT="0" distB="0" distL="0" distR="0" wp14:anchorId="72079AC8" wp14:editId="28C9D08F">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D27DD" w:rsidRPr="00AD27DD" w:rsidRDefault="00AD27DD" w:rsidP="00AD27DD">
    <w:pPr>
      <w:tabs>
        <w:tab w:val="center" w:pos="4252"/>
        <w:tab w:val="right" w:pos="8504"/>
      </w:tabs>
      <w:spacing w:before="0" w:beforeAutospacing="0" w:after="0" w:afterAutospacing="0"/>
      <w:jc w:val="center"/>
      <w:rPr>
        <w:rFonts w:ascii="Calibri" w:eastAsia="Times New Roman" w:hAnsi="Calibri"/>
        <w:b/>
        <w:szCs w:val="22"/>
        <w:lang w:eastAsia="en-US"/>
      </w:rPr>
    </w:pPr>
    <w:r w:rsidRPr="00AD27DD">
      <w:rPr>
        <w:rFonts w:ascii="Calibri" w:eastAsia="Times New Roman" w:hAnsi="Calibri"/>
        <w:b/>
        <w:szCs w:val="22"/>
        <w:lang w:eastAsia="en-US"/>
      </w:rPr>
      <w:t>Ministério da Saúde - MS</w:t>
    </w:r>
  </w:p>
  <w:p w:rsidR="00AD27DD" w:rsidRPr="00AD27DD" w:rsidRDefault="00AD27DD" w:rsidP="00AD27DD">
    <w:pPr>
      <w:tabs>
        <w:tab w:val="center" w:pos="4252"/>
        <w:tab w:val="right" w:pos="8504"/>
      </w:tabs>
      <w:spacing w:before="0" w:beforeAutospacing="0" w:after="0" w:afterAutospacing="0"/>
      <w:jc w:val="center"/>
      <w:rPr>
        <w:rFonts w:ascii="Calibri" w:eastAsia="Times New Roman" w:hAnsi="Calibri"/>
        <w:b/>
        <w:szCs w:val="22"/>
        <w:lang w:eastAsia="en-US"/>
      </w:rPr>
    </w:pPr>
    <w:r w:rsidRPr="00AD27DD">
      <w:rPr>
        <w:rFonts w:ascii="Calibri" w:eastAsia="Times New Roman" w:hAnsi="Calibri"/>
        <w:b/>
        <w:szCs w:val="22"/>
        <w:lang w:eastAsia="en-US"/>
      </w:rPr>
      <w:t>Agência Nacional de Vigilância Sanitária - ANVISA</w:t>
    </w:r>
  </w:p>
  <w:p w:rsidR="00AD27DD" w:rsidRPr="00AD27DD" w:rsidRDefault="00AD27DD">
    <w:pPr>
      <w:pStyle w:val="Cabealho"/>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AE"/>
    <w:rsid w:val="00203E1E"/>
    <w:rsid w:val="00453AA0"/>
    <w:rsid w:val="004A6AE6"/>
    <w:rsid w:val="00A12DBA"/>
    <w:rsid w:val="00AD27DD"/>
    <w:rsid w:val="00EB06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4D57"/>
  <w15:chartTrackingRefBased/>
  <w15:docId w15:val="{49F0E936-BD22-426D-A2F0-F5B330AB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06AE"/>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EB06AE"/>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EB06AE"/>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06AE"/>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EB06AE"/>
    <w:rPr>
      <w:rFonts w:ascii="Arial" w:eastAsiaTheme="minorEastAsia" w:hAnsi="Arial" w:cs="Arial"/>
      <w:b/>
      <w:bCs/>
      <w:color w:val="000000"/>
      <w:sz w:val="21"/>
      <w:szCs w:val="21"/>
      <w:lang w:eastAsia="pt-BR"/>
    </w:rPr>
  </w:style>
  <w:style w:type="paragraph" w:styleId="Cabealho">
    <w:name w:val="header"/>
    <w:basedOn w:val="Normal"/>
    <w:link w:val="CabealhoChar"/>
    <w:uiPriority w:val="99"/>
    <w:rsid w:val="00EB06AE"/>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szCs w:val="20"/>
      <w:lang w:val="es-ES_tradnl"/>
    </w:rPr>
  </w:style>
  <w:style w:type="character" w:customStyle="1" w:styleId="CabealhoChar">
    <w:name w:val="Cabeçalho Char"/>
    <w:basedOn w:val="Fontepargpadro"/>
    <w:link w:val="Cabealho"/>
    <w:uiPriority w:val="99"/>
    <w:rsid w:val="00EB06AE"/>
    <w:rPr>
      <w:rFonts w:ascii="Arial" w:eastAsia="Times New Roman" w:hAnsi="Arial" w:cs="Times New Roman"/>
      <w:sz w:val="24"/>
      <w:szCs w:val="20"/>
      <w:lang w:val="es-ES_tradnl" w:eastAsia="pt-BR"/>
    </w:rPr>
  </w:style>
  <w:style w:type="character" w:customStyle="1" w:styleId="A0">
    <w:name w:val="A0"/>
    <w:rsid w:val="00EB06AE"/>
    <w:rPr>
      <w:color w:val="211D1E"/>
    </w:rPr>
  </w:style>
  <w:style w:type="paragraph" w:styleId="Rodap">
    <w:name w:val="footer"/>
    <w:basedOn w:val="Normal"/>
    <w:link w:val="RodapChar"/>
    <w:uiPriority w:val="99"/>
    <w:unhideWhenUsed/>
    <w:rsid w:val="00AD27DD"/>
    <w:pPr>
      <w:tabs>
        <w:tab w:val="center" w:pos="4252"/>
        <w:tab w:val="right" w:pos="8504"/>
      </w:tabs>
      <w:spacing w:before="0" w:after="0"/>
    </w:pPr>
  </w:style>
  <w:style w:type="character" w:customStyle="1" w:styleId="RodapChar">
    <w:name w:val="Rodapé Char"/>
    <w:basedOn w:val="Fontepargpadro"/>
    <w:link w:val="Rodap"/>
    <w:uiPriority w:val="99"/>
    <w:rsid w:val="00AD27DD"/>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C55E32-7C71-4616-92F8-8378CA478443}"/>
</file>

<file path=customXml/itemProps2.xml><?xml version="1.0" encoding="utf-8"?>
<ds:datastoreItem xmlns:ds="http://schemas.openxmlformats.org/officeDocument/2006/customXml" ds:itemID="{1844F3DF-E615-40AD-A452-342EF3C785D3}"/>
</file>

<file path=customXml/itemProps3.xml><?xml version="1.0" encoding="utf-8"?>
<ds:datastoreItem xmlns:ds="http://schemas.openxmlformats.org/officeDocument/2006/customXml" ds:itemID="{D1DDC388-564D-4504-A0F4-F9E8B704B3FC}"/>
</file>

<file path=docProps/app.xml><?xml version="1.0" encoding="utf-8"?>
<Properties xmlns="http://schemas.openxmlformats.org/officeDocument/2006/extended-properties" xmlns:vt="http://schemas.openxmlformats.org/officeDocument/2006/docPropsVTypes">
  <Template>Normal</Template>
  <TotalTime>3</TotalTime>
  <Pages>3</Pages>
  <Words>556</Words>
  <Characters>3004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2</cp:revision>
  <cp:lastPrinted>2017-11-18T15:16:00Z</cp:lastPrinted>
  <dcterms:created xsi:type="dcterms:W3CDTF">2017-11-18T15:13:00Z</dcterms:created>
  <dcterms:modified xsi:type="dcterms:W3CDTF">2017-11-18T15:16:00Z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