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117" w:rsidRDefault="00F86117" w:rsidP="00843785">
      <w:pPr>
        <w:pStyle w:val="Ttulo1"/>
        <w:ind w:left="-851" w:right="-852"/>
        <w:divId w:val="1420523315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43785">
        <w:rPr>
          <w:rFonts w:ascii="Times New Roman" w:hAnsi="Times New Roman" w:cs="Times New Roman"/>
          <w:sz w:val="24"/>
          <w:szCs w:val="24"/>
        </w:rPr>
        <w:t>RESOLUÇÃO DA DIRETORIA COLEGIADA – RDC Nº 8, DE 27 DE FEVEREIRO DE 2009.</w:t>
      </w:r>
    </w:p>
    <w:p w:rsidR="00843785" w:rsidRPr="00843785" w:rsidRDefault="00843785" w:rsidP="00843785">
      <w:pPr>
        <w:pStyle w:val="Ttulo1"/>
        <w:ind w:left="-851" w:right="-852"/>
        <w:divId w:val="142052331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P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ublicada no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DOU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nº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40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2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março</w:t>
      </w:r>
      <w:r w:rsidRPr="000E57A5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 de 20</w:t>
      </w:r>
      <w:r>
        <w:rPr>
          <w:rFonts w:ascii="Times New Roman" w:hAnsi="Times New Roman" w:cs="Times New Roman"/>
          <w:caps w:val="0"/>
          <w:color w:val="0000FF"/>
          <w:sz w:val="24"/>
          <w:szCs w:val="24"/>
        </w:rPr>
        <w:t>09</w:t>
      </w:r>
    </w:p>
    <w:p w:rsidR="00F86117" w:rsidRPr="00843785" w:rsidRDefault="00F86117" w:rsidP="00843785">
      <w:pPr>
        <w:pStyle w:val="Corpodetexto2"/>
        <w:spacing w:after="100" w:line="240" w:lineRule="auto"/>
        <w:ind w:left="3969"/>
        <w:jc w:val="both"/>
        <w:divId w:val="1420523315"/>
      </w:pPr>
      <w:r w:rsidRPr="00843785">
        <w:t>Dispõe sobre as medidas para redução da ocorrência de infecções por Micobactérias de Crescimento Rápido – MCR em serviços de saúde.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rPr>
          <w:b/>
          <w:bCs/>
        </w:rPr>
        <w:t>A Diretoria Colegiada da Agência Nacional de Vigilância Sanitária</w:t>
      </w:r>
      <w:r w:rsidRPr="00843785"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19 de fevereiro de 2009, 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considerando a Lei Federal n° 6.360, de 23 de setembro de 1976, e o Decreto nº 79.094, de 5 de janeiro de 1977 que a regulamenta;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considerando a Resolução da Diretoria Colegiada – RDC ANVISA nº 156, de 11 de agosto de 2006, DOU de 14 de agosto de 2006, seção 1, pág. 25, Resolução Específica – RE ANVISA nº 2606, de 11 de agosto de 2006, DOU de 14 de agosto de 2006, seção 1, pág. 28, Resolução Específica – RE ANVISA nº 2605, de 11 de Agosto de 2006, DOU de 14 de agosto de 2006, seção 1, pág. 37;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considerando que é obrigatória a esterilização dos produtos para saúde classificados como críticos;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considerando que a ocorrência de infecções por Micobactérias de Crescimento Rápido - MCR está associada principalmente à realização de procedimentos cirúrgicos e diagnósticos por videoscopias com penetração de pele, mucosas adjacentes, tecidos sub-epiteliais e sistema vascular, cirurgias abdominais e pélvicas convencionais, cirurgias plásticas com o auxílio de ópticas, mamoplastias e procedimentos de lipoaspiração;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considerando que nas investigações relacionadas aos surtos por MCR em serviços de saúde foram identificadas falhas no processamento de instrumental cirúrgico e produtos para saúde e na utilização dos saneantes líquidos;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considerando que a limpeza prévia do instrumental cirúrgico e dos produtos para saúde é essencial para a eficácia de qualquer método de esterilização;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considerando que o Diretor Técnico do serviço de saúde ou autoridade equivalente é o responsável pelas atividades assistenciais, dentro do serviço, incluindo o processamento do instrumental cirúrgico e dos produtos para saúde,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lastRenderedPageBreak/>
        <w:t>Adota a seguinte Resolução da Diretoria Colegiada e eu, Diretor-Presidente, determino a sua publicação: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Art. 1º Esta Resolução aplica-se aos serviços de saúde que realizam procedimentos cirúrgicos e diagnósticos por videoscopias com penetração de pele, mucosas adjacentes, tecidos sub-epiteliais e sistema vascular, cirurgias abdominais e pélvicas convencionais, cirurgias plásticas com o auxílio de ópticas, mamoplastias e procedimentos de lipoaspiração.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 xml:space="preserve">Parágrafo único. Esta norma não se aplica ao instrumental óptico utilizado nos procedimentos endoscópicos para acesso às cavidades corporais, por orifícios naturais. 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 xml:space="preserve">Art. 2º Fica suspensa a esterilização química por imersão, utilizando agentes esterilizantes líquidos, para o instrumental cirúrgico e produtos para saúde utilizados nos procedimentos citados no Art. 1º. 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Art. 3º Os acessórios utilizados para biópsias ou outros procedimentos que atravessem a mucosa são classificados como artigos críticos.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Art. 4º O responsável pelo Centro de Material e Esterilização - CME deve supervisionar todas as atividades relacionadas ao processamento de instrumentais e produtos para saúde, incluindo as realizadas por empresas terceirizadas.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Parágrafo único. Cada etapa do processamento do instrumental cirúrgico e dos produtos para saúde deve seguir um Procedimento Operacional Padrão – POP, elaborado com base em referencial científico. Este documento deve ser amplamente divulgado no CME e estar disponível para consulta.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Art. 5º É proibido o processamento de instrumental cirúrgico e produtos para saúde fora do CME, exceto quando realizado por empresas terceirizadas regularizadas junto à Autoridade Sanitária.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Art. 6º Todo o instrumental cirúrgico e produtos para saúde que não pertençam ao serviço de saúde devem ser encaminhados previamente ao CME para processamento, obedecendo ao prazo definido por este setor.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Art. 7º Os pacientes submetidos aos procedimentos referidos no art. 1º devem ser acompanhados pelo serviço de saúde que realizou o procedimento, para identificar sinais e sintomas sugestivos de infecção por MCR. Nos primeiros 90 dias, o acompanhamento deve ser mensal. Após este período, os pacientes devem ser orientados a procurar o serviço de saúde caso ocorra qualquer anormalidade relacionada ao procedimento cirúrgico, até completar 24 meses.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 xml:space="preserve">Art. 8º Os casos suspeitos e confirmados de infecção por MCR devem ser informados à autoridade sanitária local e eletronicamente, pelo formulário de </w:t>
      </w:r>
      <w:r w:rsidRPr="00843785">
        <w:lastRenderedPageBreak/>
        <w:t>“</w:t>
      </w:r>
      <w:r w:rsidRPr="00843785">
        <w:rPr>
          <w:rStyle w:val="Forte"/>
          <w:b w:val="0"/>
          <w:bCs w:val="0"/>
        </w:rPr>
        <w:t>Notificação de Infecção Relacionada à Assistência à Saúde por Micobacteriose não Tuberculosa”,</w:t>
      </w:r>
      <w:r w:rsidRPr="00843785">
        <w:rPr>
          <w:rStyle w:val="Forte"/>
        </w:rPr>
        <w:t xml:space="preserve"> </w:t>
      </w:r>
      <w:r w:rsidRPr="00843785">
        <w:t>disponível no endereço eletrônico da Anvisa (</w:t>
      </w:r>
      <w:r w:rsidRPr="00843785">
        <w:rPr>
          <w:u w:val="single"/>
        </w:rPr>
        <w:t>www.anvisa.gov.br</w:t>
      </w:r>
      <w:r w:rsidRPr="00843785">
        <w:t>).</w:t>
      </w:r>
    </w:p>
    <w:p w:rsidR="00F86117" w:rsidRPr="00843785" w:rsidRDefault="00843785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 xml:space="preserve">Art. </w:t>
      </w:r>
      <w:r w:rsidR="00F86117" w:rsidRPr="00843785">
        <w:t>9º Os laboratórios de análises clínicas e anátomo-patológicos, públicos ou privados, devem informar os resultados positivos para MCR à autoridade sanitária local e eletronicamente, por formulário específico, no endereço eletrônico da Anvisa (</w:t>
      </w:r>
      <w:r w:rsidR="00F86117" w:rsidRPr="00843785">
        <w:rPr>
          <w:u w:val="single"/>
        </w:rPr>
        <w:t>www.anvisa.gov.br</w:t>
      </w:r>
      <w:r w:rsidR="00F86117" w:rsidRPr="00843785">
        <w:t>).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Art. 10. O serviço de saúde deve possuir registro que permita a rastreabilidade do instrumental cirúrgico, consignado ou não, e produtos para saúde submetidos à esterilização e utilizados nos procedimentos referidos no art. 1º. O registro deve conter minimamente o nome do instrumental ou produto para saúde, data e local de processamento e método de esterilização.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Art. 11. O ciclo</w:t>
      </w:r>
      <w:r w:rsidRPr="00843785">
        <w:rPr>
          <w:i/>
          <w:iCs/>
        </w:rPr>
        <w:t xml:space="preserve"> flash</w:t>
      </w:r>
      <w:r w:rsidRPr="00843785">
        <w:t xml:space="preserve"> das autoclaves a vácuo não pode ser utilizado como rotina para o processamento do instrumental e produtos para saúde utilizados nos procedimentos citados no art. 1º.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 xml:space="preserve">Parágrafo único. A utilização do ciclo </w:t>
      </w:r>
      <w:r w:rsidRPr="00843785">
        <w:rPr>
          <w:i/>
          <w:iCs/>
        </w:rPr>
        <w:t xml:space="preserve">flash </w:t>
      </w:r>
      <w:r w:rsidRPr="00843785">
        <w:t>das autoclaves a vácuo só pode ocorrer em casos de urgência, como em contaminação acidental de instrumental cirúrgico do procedimento em curso. Este ciclo deve ser monitorado por indicadores químicos e biológicos. Além disso, o ciclo deve ser documentado com as seguintes informações: data, hora, motivo do uso, nome do instrumental cirúrgico ou produto para saúde e nome e assinatura do responsável pelo procedimento. Este registro deve estar disponível para a avaliação pela Autoridade Sanitária.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Art. 12. A inobservância dos requisitos desta Resolução constitui infração de natureza sanitária, sujeitando o infrator ao processo e penalidades previstas na Lei nº. 6.437 de 20 de agosto de 1977, sem prejuízo das responsabilidades civil e penal cabíveis.</w:t>
      </w:r>
    </w:p>
    <w:p w:rsidR="00F86117" w:rsidRPr="00843785" w:rsidRDefault="00F86117" w:rsidP="00F86117">
      <w:pPr>
        <w:autoSpaceDE w:val="0"/>
        <w:autoSpaceDN w:val="0"/>
        <w:adjustRightInd w:val="0"/>
        <w:ind w:firstLine="567"/>
        <w:jc w:val="both"/>
        <w:divId w:val="1420523315"/>
      </w:pPr>
      <w:r w:rsidRPr="00843785">
        <w:t>Art. 13. Esta Resolução entra em vigor na data da sua publicação.</w:t>
      </w:r>
    </w:p>
    <w:p w:rsidR="00F86117" w:rsidRPr="00843785" w:rsidRDefault="00F86117" w:rsidP="00F86117">
      <w:pPr>
        <w:pStyle w:val="Ttulo2"/>
        <w:divId w:val="1420523315"/>
        <w:rPr>
          <w:rFonts w:ascii="Times New Roman" w:hAnsi="Times New Roman" w:cs="Times New Roman"/>
          <w:sz w:val="24"/>
          <w:szCs w:val="24"/>
        </w:rPr>
      </w:pPr>
      <w:r w:rsidRPr="00843785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F86117" w:rsidRPr="0084378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6466" w:rsidRDefault="00A26466" w:rsidP="00843785">
      <w:pPr>
        <w:spacing w:before="0" w:after="0"/>
      </w:pPr>
      <w:r>
        <w:separator/>
      </w:r>
    </w:p>
  </w:endnote>
  <w:endnote w:type="continuationSeparator" w:id="0">
    <w:p w:rsidR="00A26466" w:rsidRDefault="00A26466" w:rsidP="0084378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85" w:rsidRDefault="00843785" w:rsidP="00843785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6466" w:rsidRDefault="00A26466" w:rsidP="00843785">
      <w:pPr>
        <w:spacing w:before="0" w:after="0"/>
      </w:pPr>
      <w:r>
        <w:separator/>
      </w:r>
    </w:p>
  </w:footnote>
  <w:footnote w:type="continuationSeparator" w:id="0">
    <w:p w:rsidR="00A26466" w:rsidRDefault="00A26466" w:rsidP="0084378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85" w:rsidRPr="0018049F" w:rsidRDefault="00A26466" w:rsidP="0084378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A26466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3785" w:rsidRPr="0018049F" w:rsidRDefault="00843785" w:rsidP="0084378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843785" w:rsidRDefault="00843785" w:rsidP="0084378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843785" w:rsidRDefault="00843785" w:rsidP="0084378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193EAB"/>
    <w:rsid w:val="002A6BAF"/>
    <w:rsid w:val="00381B89"/>
    <w:rsid w:val="00524060"/>
    <w:rsid w:val="005D13BD"/>
    <w:rsid w:val="00652E8A"/>
    <w:rsid w:val="00771958"/>
    <w:rsid w:val="00843785"/>
    <w:rsid w:val="008B7BC0"/>
    <w:rsid w:val="008D770F"/>
    <w:rsid w:val="009D4C4B"/>
    <w:rsid w:val="009F4005"/>
    <w:rsid w:val="00A26466"/>
    <w:rsid w:val="00A53197"/>
    <w:rsid w:val="00AF43E7"/>
    <w:rsid w:val="00C845D3"/>
    <w:rsid w:val="00C95A0B"/>
    <w:rsid w:val="00DF7C19"/>
    <w:rsid w:val="00E30878"/>
    <w:rsid w:val="00F86117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F8611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F86117"/>
    <w:rPr>
      <w:rFonts w:eastAsiaTheme="minorEastAsia" w:cs="Times New Roman"/>
      <w:sz w:val="24"/>
      <w:szCs w:val="24"/>
    </w:rPr>
  </w:style>
  <w:style w:type="character" w:styleId="Forte">
    <w:name w:val="Strong"/>
    <w:basedOn w:val="Fontepargpadro"/>
    <w:uiPriority w:val="99"/>
    <w:qFormat/>
    <w:rsid w:val="00F86117"/>
    <w:rPr>
      <w:rFonts w:cs="Times New Roman"/>
      <w:b/>
      <w:bCs/>
    </w:rPr>
  </w:style>
  <w:style w:type="paragraph" w:styleId="Cabealho">
    <w:name w:val="header"/>
    <w:basedOn w:val="Normal"/>
    <w:link w:val="CabealhoChar"/>
    <w:uiPriority w:val="99"/>
    <w:rsid w:val="0084378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843785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84378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843785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43785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523317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331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18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4205233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32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1043</Words>
  <Characters>5635</Characters>
  <Application>Microsoft Office Word</Application>
  <DocSecurity>0</DocSecurity>
  <Lines>46</Lines>
  <Paragraphs>13</Paragraphs>
  <ScaleCrop>false</ScaleCrop>
  <Company>ANVISA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2018-04-09T19:20:00Z</cp:lastPrinted>
  <dcterms:created xsi:type="dcterms:W3CDTF">2018-08-16T18:34:00Z</dcterms:created>
  <dcterms:modified xsi:type="dcterms:W3CDTF">2018-08-16T18:34:00Z</dcterms:modified>
</cp:coreProperties>
</file>