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81" w:rsidRPr="00527AAF" w:rsidRDefault="00757E81" w:rsidP="00527AAF">
      <w:pPr>
        <w:pStyle w:val="Ttulo1"/>
        <w:ind w:left="-567" w:right="-710"/>
        <w:divId w:val="249196875"/>
        <w:rPr>
          <w:rFonts w:ascii="Times New Roman" w:hAnsi="Times New Roman" w:cs="Times New Roman"/>
        </w:rPr>
      </w:pPr>
      <w:r w:rsidRPr="00527AAF">
        <w:rPr>
          <w:rFonts w:ascii="Times New Roman" w:hAnsi="Times New Roman" w:cs="Times New Roman"/>
        </w:rPr>
        <w:t>RESOLUÇÃO DA DIRETORIA COLEGIADA - RDC Nº 9, DE 22 DE FEVEREIRO DE 2008</w:t>
      </w:r>
    </w:p>
    <w:p w:rsidR="00527AAF" w:rsidRDefault="00527AAF" w:rsidP="00757E81">
      <w:pPr>
        <w:pStyle w:val="Ttulo1"/>
        <w:divId w:val="249196875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527AAF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527AAF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37, de 25 de fevereiro de 2008)</w:t>
      </w:r>
    </w:p>
    <w:p w:rsidR="00527AAF" w:rsidRPr="00527AAF" w:rsidRDefault="00527AAF" w:rsidP="00757E81">
      <w:pPr>
        <w:pStyle w:val="Ttulo1"/>
        <w:divId w:val="249196875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</w:t>
      </w:r>
      <w:r w:rsidRPr="00527AAF">
        <w:rPr>
          <w:rFonts w:ascii="Times New Roman" w:hAnsi="Times New Roman" w:cs="Times New Roman"/>
          <w:caps w:val="0"/>
          <w:color w:val="0000FF"/>
          <w:sz w:val="24"/>
          <w:szCs w:val="24"/>
        </w:rPr>
        <w:t>Revogada tacitamente pel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a Resolução - RDC nº 4, de 18 de janeiro de </w:t>
      </w:r>
      <w:r w:rsidRPr="00527AAF">
        <w:rPr>
          <w:rFonts w:ascii="Times New Roman" w:hAnsi="Times New Roman" w:cs="Times New Roman"/>
          <w:caps w:val="0"/>
          <w:color w:val="0000FF"/>
          <w:sz w:val="24"/>
          <w:szCs w:val="24"/>
        </w:rPr>
        <w:t>2012, conforme declarado em Despacho nº 56, de 27 de março de 2018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757E81" w:rsidRPr="00527AAF" w:rsidRDefault="00757E81" w:rsidP="00757E81">
      <w:pPr>
        <w:ind w:firstLine="567"/>
        <w:jc w:val="both"/>
        <w:divId w:val="249196875"/>
        <w:rPr>
          <w:strike/>
        </w:rPr>
      </w:pPr>
      <w:r w:rsidRPr="00527AAF">
        <w:rPr>
          <w:b/>
          <w:bCs/>
          <w:strike/>
        </w:rPr>
        <w:t>A Diretoria Colegiada da Agência Nacional de Vigilância Sanitária</w:t>
      </w:r>
      <w:r w:rsidRPr="00527AAF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14, de fevereiro de 2008, e</w:t>
      </w:r>
    </w:p>
    <w:p w:rsidR="00757E81" w:rsidRPr="00527AAF" w:rsidRDefault="00757E81" w:rsidP="00757E81">
      <w:pPr>
        <w:pStyle w:val="Corpodetexto"/>
        <w:spacing w:after="100"/>
        <w:ind w:firstLine="567"/>
        <w:divId w:val="249196875"/>
        <w:rPr>
          <w:strike/>
        </w:rPr>
      </w:pPr>
      <w:r w:rsidRPr="00527AAF">
        <w:rPr>
          <w:strike/>
        </w:rPr>
        <w:t xml:space="preserve">considerando a necessidade de adequação da RDC 216, de 15 de dezembro de 2006, publicada no D.O.U., de 18 de dezembro de 2006; </w:t>
      </w:r>
    </w:p>
    <w:p w:rsidR="00757E81" w:rsidRPr="00527AAF" w:rsidRDefault="00757E81" w:rsidP="00757E81">
      <w:pPr>
        <w:ind w:firstLine="567"/>
        <w:jc w:val="both"/>
        <w:divId w:val="249196875"/>
        <w:rPr>
          <w:strike/>
        </w:rPr>
      </w:pPr>
      <w:r w:rsidRPr="00527AAF">
        <w:rPr>
          <w:strike/>
        </w:rPr>
        <w:t>adota a seguinte Resolução da Diretoria Colegiada e eu, Diretor-Presidente, determino a sua publicação:</w:t>
      </w:r>
    </w:p>
    <w:p w:rsidR="00757E81" w:rsidRPr="00527AAF" w:rsidRDefault="00757E81" w:rsidP="00757E81">
      <w:pPr>
        <w:ind w:firstLine="567"/>
        <w:jc w:val="both"/>
        <w:divId w:val="249196875"/>
        <w:rPr>
          <w:strike/>
        </w:rPr>
      </w:pPr>
      <w:r w:rsidRPr="00527AAF">
        <w:rPr>
          <w:strike/>
        </w:rPr>
        <w:t>Art. 1º Os §§ 1º e 2º, do art. 2º passarão a vigorar com as seguintes redações:</w:t>
      </w:r>
    </w:p>
    <w:p w:rsidR="00757E81" w:rsidRPr="00527AAF" w:rsidRDefault="00757E81" w:rsidP="00527AAF">
      <w:pPr>
        <w:ind w:firstLine="567"/>
        <w:jc w:val="both"/>
        <w:divId w:val="249196875"/>
        <w:rPr>
          <w:iCs/>
          <w:strike/>
        </w:rPr>
      </w:pPr>
      <w:r w:rsidRPr="00527AAF">
        <w:rPr>
          <w:strike/>
        </w:rPr>
        <w:t xml:space="preserve">“§ 1º </w:t>
      </w:r>
      <w:r w:rsidRPr="00527AAF">
        <w:rPr>
          <w:iCs/>
          <w:strike/>
        </w:rPr>
        <w:t>Para a comparação de que trata o § 16 do art.</w:t>
      </w:r>
      <w:proofErr w:type="gramStart"/>
      <w:r w:rsidRPr="00527AAF">
        <w:rPr>
          <w:iCs/>
          <w:strike/>
        </w:rPr>
        <w:t>10,  Decreto</w:t>
      </w:r>
      <w:proofErr w:type="gramEnd"/>
      <w:r w:rsidRPr="00527AAF">
        <w:rPr>
          <w:iCs/>
          <w:strike/>
        </w:rPr>
        <w:t xml:space="preserve"> 4074, de 04 de janeiro de 2002, os produtos formulados já registrados deverão possuir:</w:t>
      </w:r>
    </w:p>
    <w:p w:rsidR="00757E81" w:rsidRPr="00527AAF" w:rsidRDefault="00757E81" w:rsidP="00527AAF">
      <w:pPr>
        <w:ind w:firstLine="567"/>
        <w:jc w:val="both"/>
        <w:divId w:val="249196875"/>
        <w:rPr>
          <w:iCs/>
          <w:strike/>
        </w:rPr>
      </w:pPr>
      <w:r w:rsidRPr="00527AAF">
        <w:rPr>
          <w:iCs/>
          <w:strike/>
        </w:rPr>
        <w:t xml:space="preserve">I - </w:t>
      </w:r>
      <w:proofErr w:type="gramStart"/>
      <w:r w:rsidRPr="00527AAF">
        <w:rPr>
          <w:iCs/>
          <w:strike/>
        </w:rPr>
        <w:t>relatório</w:t>
      </w:r>
      <w:proofErr w:type="gramEnd"/>
      <w:r w:rsidRPr="00527AAF">
        <w:rPr>
          <w:iCs/>
          <w:strike/>
        </w:rPr>
        <w:t xml:space="preserve"> analítico com a descrição do método de análise, e todos os </w:t>
      </w:r>
      <w:proofErr w:type="spellStart"/>
      <w:r w:rsidRPr="00527AAF">
        <w:rPr>
          <w:iCs/>
          <w:strike/>
        </w:rPr>
        <w:t>cromatogramas</w:t>
      </w:r>
      <w:proofErr w:type="spellEnd"/>
      <w:r w:rsidRPr="00527AAF">
        <w:rPr>
          <w:iCs/>
          <w:strike/>
        </w:rPr>
        <w:t xml:space="preserve"> que permitam a quantificação dos Limites Máximos de Resíduos - </w:t>
      </w:r>
      <w:proofErr w:type="spellStart"/>
      <w:r w:rsidRPr="00527AAF">
        <w:rPr>
          <w:iCs/>
          <w:strike/>
        </w:rPr>
        <w:t>LMRs</w:t>
      </w:r>
      <w:proofErr w:type="spellEnd"/>
      <w:r w:rsidRPr="00527AAF">
        <w:rPr>
          <w:iCs/>
          <w:strike/>
        </w:rPr>
        <w:t>;</w:t>
      </w:r>
    </w:p>
    <w:p w:rsidR="00757E81" w:rsidRPr="00527AAF" w:rsidRDefault="00757E81" w:rsidP="00527AAF">
      <w:pPr>
        <w:ind w:firstLine="567"/>
        <w:jc w:val="both"/>
        <w:divId w:val="249196875"/>
        <w:rPr>
          <w:iCs/>
          <w:strike/>
        </w:rPr>
      </w:pPr>
      <w:r w:rsidRPr="00527AAF">
        <w:rPr>
          <w:iCs/>
          <w:strike/>
        </w:rPr>
        <w:t xml:space="preserve">II - </w:t>
      </w:r>
      <w:proofErr w:type="gramStart"/>
      <w:r w:rsidRPr="00527AAF">
        <w:rPr>
          <w:iCs/>
          <w:strike/>
        </w:rPr>
        <w:t>ensaios</w:t>
      </w:r>
      <w:proofErr w:type="gramEnd"/>
      <w:r w:rsidRPr="00527AAF">
        <w:rPr>
          <w:iCs/>
          <w:strike/>
        </w:rPr>
        <w:t xml:space="preserve"> de resíduos, sendo:</w:t>
      </w:r>
    </w:p>
    <w:p w:rsidR="00757E81" w:rsidRPr="00527AAF" w:rsidRDefault="00757E81" w:rsidP="00527AAF">
      <w:pPr>
        <w:ind w:firstLine="567"/>
        <w:jc w:val="both"/>
        <w:divId w:val="249196875"/>
        <w:rPr>
          <w:iCs/>
          <w:strike/>
        </w:rPr>
      </w:pPr>
      <w:r w:rsidRPr="00527AAF">
        <w:rPr>
          <w:iCs/>
          <w:strike/>
        </w:rPr>
        <w:t>a) três ensaios de campo, em locais distintos na mesma safra, ou dois ensaios de campo no mesmo local em duas safras consecutivas e um terceiro em local diferente; ou</w:t>
      </w:r>
    </w:p>
    <w:p w:rsidR="00757E81" w:rsidRPr="00527AAF" w:rsidRDefault="00757E81" w:rsidP="00527AAF">
      <w:pPr>
        <w:ind w:firstLine="567"/>
        <w:jc w:val="both"/>
        <w:divId w:val="249196875"/>
        <w:rPr>
          <w:iCs/>
          <w:strike/>
        </w:rPr>
      </w:pPr>
      <w:r w:rsidRPr="00527AAF">
        <w:rPr>
          <w:iCs/>
          <w:strike/>
        </w:rPr>
        <w:t>b) no mínimo dois ensaios, em locais representativos, para o tratamento pós-colheita.</w:t>
      </w:r>
    </w:p>
    <w:p w:rsidR="00757E81" w:rsidRPr="00527AAF" w:rsidRDefault="00757E81" w:rsidP="00527AAF">
      <w:pPr>
        <w:ind w:firstLine="567"/>
        <w:jc w:val="both"/>
        <w:divId w:val="249196875"/>
        <w:rPr>
          <w:iCs/>
          <w:strike/>
        </w:rPr>
      </w:pPr>
      <w:r w:rsidRPr="00527AAF">
        <w:rPr>
          <w:iCs/>
          <w:strike/>
        </w:rPr>
        <w:t>§ 2º Quando necessário, as empresas detentoras de registro de produtos agrotóxicos serão convocadas a adequar os estudos de resíduos”</w:t>
      </w:r>
    </w:p>
    <w:p w:rsidR="00757E81" w:rsidRPr="00527AAF" w:rsidRDefault="00757E81" w:rsidP="00757E81">
      <w:pPr>
        <w:ind w:firstLine="567"/>
        <w:divId w:val="249196875"/>
        <w:rPr>
          <w:strike/>
        </w:rPr>
      </w:pPr>
      <w:r w:rsidRPr="00527AAF">
        <w:rPr>
          <w:strike/>
        </w:rPr>
        <w:t>Art. 2º Esta Resolução entra em vigor na data de sua publicação. </w:t>
      </w:r>
    </w:p>
    <w:p w:rsidR="00A53197" w:rsidRPr="00527AAF" w:rsidRDefault="00757E81" w:rsidP="00527AAF">
      <w:pPr>
        <w:pStyle w:val="Ttulo2"/>
        <w:divId w:val="249196875"/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</w:pPr>
      <w:bookmarkStart w:id="0" w:name="_GoBack"/>
      <w:bookmarkEnd w:id="0"/>
      <w:r w:rsidRPr="00527AAF">
        <w:rPr>
          <w:rFonts w:ascii="Times New Roman" w:hAnsi="Times New Roman" w:cs="Times New Roman"/>
          <w:strike/>
          <w:sz w:val="24"/>
          <w:szCs w:val="24"/>
        </w:rPr>
        <w:t>DIRCEU RAPOSO DE MELLO</w:t>
      </w:r>
      <w:r w:rsidR="00A53197" w:rsidRPr="00527AAF"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  <w:t xml:space="preserve"> </w:t>
      </w:r>
    </w:p>
    <w:sectPr w:rsidR="00A53197" w:rsidRPr="00527AA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AAF" w:rsidRDefault="00527AAF" w:rsidP="00527AAF">
      <w:pPr>
        <w:spacing w:before="0" w:after="0"/>
      </w:pPr>
      <w:r>
        <w:separator/>
      </w:r>
    </w:p>
  </w:endnote>
  <w:endnote w:type="continuationSeparator" w:id="0">
    <w:p w:rsidR="00527AAF" w:rsidRDefault="00527AAF" w:rsidP="00527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AAF" w:rsidRPr="00527AAF" w:rsidRDefault="00527AAF" w:rsidP="00527AAF">
    <w:pPr>
      <w:tabs>
        <w:tab w:val="right" w:pos="8504"/>
      </w:tabs>
      <w:spacing w:after="0"/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AAF" w:rsidRDefault="00527AAF" w:rsidP="00527AAF">
      <w:pPr>
        <w:spacing w:before="0" w:after="0"/>
      </w:pPr>
      <w:r>
        <w:separator/>
      </w:r>
    </w:p>
  </w:footnote>
  <w:footnote w:type="continuationSeparator" w:id="0">
    <w:p w:rsidR="00527AAF" w:rsidRDefault="00527AAF" w:rsidP="00527A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AAF" w:rsidRPr="0018049F" w:rsidRDefault="00527AAF" w:rsidP="00527A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2EC89C0" wp14:editId="076D6006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7AAF" w:rsidRPr="0018049F" w:rsidRDefault="00527AAF" w:rsidP="00527A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527AAF" w:rsidRDefault="00527AAF" w:rsidP="00527A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527AAF" w:rsidRPr="00527AAF" w:rsidRDefault="00527AAF" w:rsidP="00527A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07A0D"/>
    <w:rsid w:val="00524060"/>
    <w:rsid w:val="00527AAF"/>
    <w:rsid w:val="005D13BD"/>
    <w:rsid w:val="00652E8A"/>
    <w:rsid w:val="00757E81"/>
    <w:rsid w:val="00771958"/>
    <w:rsid w:val="0077668C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BB1F83"/>
  <w14:defaultImageDpi w14:val="0"/>
  <w15:docId w15:val="{6FD430CB-F1D1-4557-A1A7-28FAD516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57E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757E81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27AA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527AAF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rsid w:val="00527AA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527AAF"/>
    <w:rPr>
      <w:rFonts w:eastAsiaTheme="minorEastAsia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AA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687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8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11A51-D9DA-4ABC-979D-AF33215D2499}"/>
</file>

<file path=customXml/itemProps2.xml><?xml version="1.0" encoding="utf-8"?>
<ds:datastoreItem xmlns:ds="http://schemas.openxmlformats.org/officeDocument/2006/customXml" ds:itemID="{70F395A2-3CF0-4CFC-861F-E5B806B5DF0E}"/>
</file>

<file path=customXml/itemProps3.xml><?xml version="1.0" encoding="utf-8"?>
<ds:datastoreItem xmlns:ds="http://schemas.openxmlformats.org/officeDocument/2006/customXml" ds:itemID="{63A48BCE-3722-4A03-8089-6E16636CFC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2</cp:revision>
  <cp:lastPrinted>2012-05-16T13:46:00Z</cp:lastPrinted>
  <dcterms:created xsi:type="dcterms:W3CDTF">2018-05-11T21:36:00Z</dcterms:created>
  <dcterms:modified xsi:type="dcterms:W3CDTF">2018-05-11T21:36:00Z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