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2D" w:rsidRPr="00AE5543" w:rsidRDefault="00D6142D" w:rsidP="00AE5543">
      <w:pPr>
        <w:pStyle w:val="Ttulo1"/>
        <w:spacing w:before="0" w:beforeAutospacing="0" w:after="200" w:afterAutospacing="0"/>
        <w:ind w:left="-567" w:right="-427"/>
        <w:divId w:val="1462070533"/>
        <w:rPr>
          <w:rFonts w:ascii="Times New Roman" w:hAnsi="Times New Roman" w:cs="Times New Roman"/>
          <w:sz w:val="24"/>
          <w:szCs w:val="24"/>
          <w:u w:color="002060"/>
        </w:rPr>
      </w:pPr>
      <w:bookmarkStart w:id="0" w:name="_GoBack"/>
      <w:bookmarkEnd w:id="0"/>
      <w:r w:rsidRPr="00AE5543">
        <w:rPr>
          <w:rFonts w:ascii="Times New Roman" w:hAnsi="Times New Roman" w:cs="Times New Roman"/>
          <w:sz w:val="24"/>
          <w:szCs w:val="24"/>
          <w:u w:color="002060"/>
        </w:rPr>
        <w:t>RESOLUÇÃO DA DIRETORIA COLEGIADA – RDC Nº 9, DE 4 DE MARÇO DE 2010</w:t>
      </w:r>
    </w:p>
    <w:p w:rsidR="00AE5543" w:rsidRPr="00AE5543" w:rsidRDefault="00AE5543" w:rsidP="00AE5543">
      <w:pPr>
        <w:spacing w:before="0" w:beforeAutospacing="0" w:after="200" w:afterAutospacing="0"/>
        <w:jc w:val="center"/>
        <w:divId w:val="1462070533"/>
        <w:rPr>
          <w:b/>
          <w:color w:val="0000FF"/>
        </w:rPr>
      </w:pPr>
      <w:r w:rsidRPr="00AE5543">
        <w:rPr>
          <w:b/>
          <w:color w:val="0000FF"/>
        </w:rPr>
        <w:t>(Publicada no DOU nº 44, de 8 de março de 2010)</w:t>
      </w:r>
    </w:p>
    <w:p w:rsidR="00D6142D" w:rsidRPr="00AE5543" w:rsidRDefault="00D6142D" w:rsidP="00AE5543">
      <w:pPr>
        <w:tabs>
          <w:tab w:val="left" w:pos="9666"/>
        </w:tabs>
        <w:spacing w:before="0" w:beforeAutospacing="0" w:after="200" w:afterAutospacing="0"/>
        <w:ind w:left="3969"/>
        <w:jc w:val="both"/>
        <w:divId w:val="1462070533"/>
        <w:rPr>
          <w:u w:color="002060"/>
        </w:rPr>
      </w:pPr>
      <w:r w:rsidRPr="00AE5543">
        <w:rPr>
          <w:u w:color="002060"/>
        </w:rPr>
        <w:t>Altera dispositivos da RDC nº 69, de 1º de outubro de 2008, que dispõe sobre as Boas Práticas de Fabricação de Gases Medicinais.</w:t>
      </w:r>
    </w:p>
    <w:p w:rsidR="00D6142D" w:rsidRPr="00AE5543" w:rsidRDefault="00D6142D" w:rsidP="00AE5543">
      <w:pPr>
        <w:spacing w:before="0" w:beforeAutospacing="0" w:after="200" w:afterAutospacing="0"/>
        <w:ind w:firstLine="567"/>
        <w:jc w:val="both"/>
        <w:divId w:val="1462070533"/>
        <w:rPr>
          <w:u w:color="002060"/>
        </w:rPr>
      </w:pPr>
      <w:r w:rsidRPr="00AE5543">
        <w:rPr>
          <w:b/>
          <w:bCs/>
          <w:u w:color="002060"/>
        </w:rPr>
        <w:t>A Diretoria Colegiada da Agência Nacional de Vigilância Sanitária</w:t>
      </w:r>
      <w:r w:rsidRPr="00AE5543">
        <w:rPr>
          <w:u w:color="002060"/>
        </w:rPr>
        <w:t>, no uso da atribuição que lhe confere o inciso IV do art. 11 do Regulamento aprovado pelo Decreto n° 3.029, de 16 de abril de 1999, e tendo em vista o disposto no inciso II e nos §§ 1° e 3° do art. 54 do Regimento Interno aprovado nos termos do Anexo I da Portaria n° 354 da ANVISA, de 11 de agosto de 2006, republicada no DOU de 21 de agosto de 2006, em reunião realizada em 22 de fevereiro de 2010,</w:t>
      </w:r>
    </w:p>
    <w:p w:rsidR="00D6142D" w:rsidRPr="00AE5543" w:rsidRDefault="00D6142D" w:rsidP="00AE5543">
      <w:pPr>
        <w:spacing w:before="0" w:beforeAutospacing="0" w:after="200" w:afterAutospacing="0"/>
        <w:ind w:firstLine="567"/>
        <w:jc w:val="both"/>
        <w:divId w:val="1462070533"/>
        <w:rPr>
          <w:u w:color="002060"/>
        </w:rPr>
      </w:pPr>
      <w:r w:rsidRPr="00AE5543">
        <w:rPr>
          <w:u w:color="002060"/>
        </w:rPr>
        <w:t>adota a seguinte Resolução de Diretoria Colegiada e eu, Diretor-Presidente, determino a sua publicação:</w:t>
      </w:r>
    </w:p>
    <w:p w:rsidR="00D6142D" w:rsidRPr="00AE5543" w:rsidRDefault="00D6142D" w:rsidP="00AE5543">
      <w:pPr>
        <w:spacing w:before="0" w:beforeAutospacing="0" w:after="200" w:afterAutospacing="0"/>
        <w:ind w:firstLine="567"/>
        <w:jc w:val="both"/>
        <w:divId w:val="1462070533"/>
        <w:rPr>
          <w:u w:color="002060"/>
        </w:rPr>
      </w:pPr>
      <w:r w:rsidRPr="00AE5543">
        <w:rPr>
          <w:u w:color="002060"/>
        </w:rPr>
        <w:t xml:space="preserve">Art. 1º O art. 2º da  RDC nº 69, de 1º de outubro de 2008,  passa a vigorar com a seguinte redação: 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  <w:rPr>
          <w:color w:val="000000"/>
        </w:rPr>
      </w:pPr>
      <w:r w:rsidRPr="00AE5543">
        <w:rPr>
          <w:color w:val="000000"/>
        </w:rPr>
        <w:t>“Art. 2º Fica concedido prazo, até 31 de dezembro de 2012, para que as empresas fabricantes de gases medicinais sejam regularizadas quanto à Autorização de Funcionamento, e prazo de 24 (vinte e quatro) meses, a partir da data da Autorização de Funcionamento, para a obtenção do Certificado de Boas Práticas de Fabricação.”</w:t>
      </w:r>
    </w:p>
    <w:p w:rsidR="00D6142D" w:rsidRPr="00AE5543" w:rsidRDefault="00D6142D" w:rsidP="00AE5543">
      <w:pPr>
        <w:spacing w:before="0" w:beforeAutospacing="0" w:after="200" w:afterAutospacing="0"/>
        <w:ind w:firstLine="567"/>
        <w:jc w:val="both"/>
        <w:divId w:val="1462070533"/>
        <w:rPr>
          <w:u w:color="002060"/>
        </w:rPr>
      </w:pPr>
      <w:r w:rsidRPr="00AE5543">
        <w:rPr>
          <w:u w:color="002060"/>
        </w:rPr>
        <w:t xml:space="preserve">Art. 2º Os subitens 2.2, 5.1, 12.2, 13.6, 13.8 e 13.9 do Anexo da RDC nº 69, de 1º de outubro de 2008,  passam a vigorar com a seguinte redação: 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  <w:rPr>
          <w:color w:val="000000"/>
        </w:rPr>
      </w:pPr>
      <w:r w:rsidRPr="00AE5543">
        <w:rPr>
          <w:u w:color="002060"/>
        </w:rPr>
        <w:t>“</w:t>
      </w:r>
      <w:r w:rsidRPr="00AE5543">
        <w:rPr>
          <w:color w:val="000000"/>
        </w:rPr>
        <w:t>2.2 Este Regulamento se aplica não somente à empresa que produz o gás medicinal, mas a todas aquelas que, sem realizar o processo completo, participam do controle, da elaboração de alguma etapa do processo, como o envase (enchimento) de cilindros, tanques criogênicos e caminhões-tanque.”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  <w:rPr>
          <w:color w:val="000000"/>
        </w:rPr>
      </w:pPr>
      <w:r w:rsidRPr="00AE5543">
        <w:rPr>
          <w:color w:val="000000"/>
        </w:rPr>
        <w:t>“5.1 Os gases medicinais devem ser envasados em cilindros ou em tanques criogênicos móveis em áreas separadas daquelas destinadas a gases não medicinais, não sendo permitidas trocas de recipientes entre estas áreas. Entretanto, o envasamento de gases medicinais em cilindros ou em tanques criogênicos móveis pode ocorrer em área destinada ao envasamento de gases não medicinais, desde que tomadas precauções especiais e que as devidas validações sejam realizadas.”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  <w:rPr>
          <w:color w:val="000000"/>
        </w:rPr>
      </w:pPr>
      <w:r w:rsidRPr="00AE5543">
        <w:rPr>
          <w:color w:val="000000"/>
        </w:rPr>
        <w:lastRenderedPageBreak/>
        <w:t>“12.2 Os gases a granel destinados ao uso medicinal devem ser analisados e liberados antes da realização da etapa de enchimento.” 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</w:pPr>
      <w:r w:rsidRPr="00AE5543">
        <w:t>“13.6 Durante o transporte em caminhões-tanque de gases medicinais na forma líquida, os dados da rotulagem exigidos pela legislação vigente devem constar em certificado que inclua também um protocolo de análise do lote, assinado e datado pelo profissional legalmente habilitado. Este certificado deve acompanhar todo o procedimento de transporte e deve estar à disposição das autoridades sanitárias. Cópia deste certificado deve ser entregue ao destinatário do produto, para arquivamento pelo prazo mínimo de um ano, a contar da data de vencimento do produto.” 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</w:pPr>
      <w:r w:rsidRPr="00AE5543">
        <w:t>“13.8 Devem ser elaborados e seguidos procedimentos escritos que descrevam a entrega dos gases medicinais, de forma a possibilitar a rastreabilidade de cada lote do gás medicinal entregue ao cliente. Na nota fiscal deve ser registrado o número do lote a ela correspondente.” 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</w:pPr>
      <w:r w:rsidRPr="00AE5543">
        <w:t xml:space="preserve">“13.9 O fabricante deve garantir por meio de procedimentos escritos que a organização </w:t>
      </w:r>
      <w:r w:rsidR="00AE5543" w:rsidRPr="00AE5543">
        <w:t>dos cilindros</w:t>
      </w:r>
      <w:r w:rsidRPr="00AE5543">
        <w:t xml:space="preserve"> e tanques criogênicos nos caminhões, ainda na unidade fabril, seja feita de modo a evitar a mistura entre gases medicinais e gases não medicinais e de recipientes cheios  e vazios.” (NR)</w:t>
      </w:r>
    </w:p>
    <w:p w:rsidR="00D6142D" w:rsidRPr="00AE5543" w:rsidRDefault="00D6142D" w:rsidP="00AE5543">
      <w:pPr>
        <w:spacing w:before="0" w:beforeAutospacing="0" w:after="200" w:afterAutospacing="0"/>
        <w:ind w:firstLine="567"/>
        <w:jc w:val="both"/>
        <w:divId w:val="1462070533"/>
        <w:rPr>
          <w:u w:color="002060"/>
        </w:rPr>
      </w:pPr>
      <w:r w:rsidRPr="00AE5543">
        <w:rPr>
          <w:u w:color="002060"/>
        </w:rPr>
        <w:t xml:space="preserve">Art. 3º O item 2 do Anexo da RDC nº 69, de 1º de outubro de 2008 passa a vigorar acrescido do seguinte subitem: 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  <w:rPr>
          <w:color w:val="000000"/>
        </w:rPr>
      </w:pPr>
      <w:r w:rsidRPr="00AE5543">
        <w:rPr>
          <w:u w:color="002060"/>
        </w:rPr>
        <w:t xml:space="preserve">“2.4 </w:t>
      </w:r>
      <w:r w:rsidRPr="00AE5543">
        <w:rPr>
          <w:color w:val="000000"/>
        </w:rPr>
        <w:t>As atividades de distribuição, transporte e importação de gases medicinais, bem como os critérios para a concessão de Autorização de Funcionamento de Empresa serão regulamentadas por meio de normas específicas.”  </w:t>
      </w:r>
    </w:p>
    <w:p w:rsidR="00D6142D" w:rsidRPr="00AE5543" w:rsidRDefault="00D6142D" w:rsidP="00AE5543">
      <w:pPr>
        <w:spacing w:before="0" w:beforeAutospacing="0" w:after="200" w:afterAutospacing="0"/>
        <w:ind w:firstLine="567"/>
        <w:jc w:val="both"/>
        <w:divId w:val="1462070533"/>
        <w:rPr>
          <w:u w:color="002060"/>
        </w:rPr>
      </w:pPr>
      <w:r w:rsidRPr="00AE5543">
        <w:rPr>
          <w:u w:color="002060"/>
        </w:rPr>
        <w:t xml:space="preserve">Art. 4º O subitem 3.1 do Anexo da RDC nº 69, de 1º de outubro de 2008, passa a vigorar acrescido do seguinte subitem:  </w:t>
      </w:r>
    </w:p>
    <w:p w:rsidR="00D6142D" w:rsidRPr="00AE5543" w:rsidRDefault="00D6142D" w:rsidP="00AE5543">
      <w:pPr>
        <w:spacing w:before="0" w:beforeAutospacing="0" w:after="200" w:afterAutospacing="0"/>
        <w:ind w:left="1980"/>
        <w:jc w:val="both"/>
        <w:divId w:val="1462070533"/>
      </w:pPr>
      <w:r w:rsidRPr="00AE5543">
        <w:t>“3.1.25  Envase ou enchimento: operação referente ao acondicionamento de gases medicinais em cilindros e líquidos criogênicos em tanques criogênicos e caminhões-tanque.”</w:t>
      </w:r>
    </w:p>
    <w:p w:rsidR="00D6142D" w:rsidRPr="00AE5543" w:rsidRDefault="00D6142D" w:rsidP="00AE5543">
      <w:pPr>
        <w:spacing w:before="0" w:beforeAutospacing="0" w:after="200" w:afterAutospacing="0"/>
        <w:ind w:firstLine="567"/>
        <w:jc w:val="both"/>
        <w:divId w:val="1462070533"/>
        <w:rPr>
          <w:u w:color="002060"/>
        </w:rPr>
      </w:pPr>
      <w:r w:rsidRPr="00AE5543">
        <w:rPr>
          <w:u w:color="002060"/>
        </w:rPr>
        <w:t xml:space="preserve">Art. 5º Ficam revogados o item 14 e o item “retificação” </w:t>
      </w:r>
      <w:r w:rsidR="00AE5543" w:rsidRPr="00AE5543">
        <w:rPr>
          <w:u w:color="002060"/>
        </w:rPr>
        <w:t>e os</w:t>
      </w:r>
      <w:r w:rsidRPr="00AE5543">
        <w:rPr>
          <w:u w:color="002060"/>
        </w:rPr>
        <w:t xml:space="preserve"> subitens 10.4.1 e  13.7 do Anexo da RDC nº 69, de 1º de outubro de 2008.</w:t>
      </w:r>
    </w:p>
    <w:p w:rsidR="00D6142D" w:rsidRPr="00AE5543" w:rsidRDefault="00D6142D" w:rsidP="00AE5543">
      <w:pPr>
        <w:spacing w:before="0" w:beforeAutospacing="0" w:after="200" w:afterAutospacing="0"/>
        <w:ind w:firstLine="567"/>
        <w:jc w:val="both"/>
        <w:divId w:val="1462070533"/>
        <w:rPr>
          <w:u w:color="002060"/>
        </w:rPr>
      </w:pPr>
      <w:r w:rsidRPr="00AE5543">
        <w:rPr>
          <w:u w:color="002060"/>
        </w:rPr>
        <w:t>Art. 6º Esta Resolução entra em vigor na data de sua publicação.</w:t>
      </w:r>
    </w:p>
    <w:p w:rsidR="00D6142D" w:rsidRPr="00AE5543" w:rsidRDefault="00D6142D" w:rsidP="00AE5543">
      <w:pPr>
        <w:pStyle w:val="Ttulo2"/>
        <w:spacing w:before="0" w:beforeAutospacing="0" w:after="200" w:afterAutospacing="0"/>
        <w:divId w:val="1462070533"/>
        <w:rPr>
          <w:rFonts w:ascii="Times New Roman" w:hAnsi="Times New Roman" w:cs="Times New Roman"/>
          <w:sz w:val="24"/>
          <w:szCs w:val="24"/>
          <w:u w:color="002060"/>
        </w:rPr>
      </w:pPr>
      <w:r w:rsidRPr="00AE5543">
        <w:rPr>
          <w:rFonts w:ascii="Times New Roman" w:hAnsi="Times New Roman" w:cs="Times New Roman"/>
          <w:sz w:val="24"/>
          <w:szCs w:val="24"/>
          <w:u w:color="002060"/>
        </w:rPr>
        <w:t>DIRCEU RAPOSO DE MELLO</w:t>
      </w:r>
    </w:p>
    <w:sectPr w:rsidR="00D6142D" w:rsidRPr="00AE554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86F" w:rsidRDefault="00B0586F" w:rsidP="00AE5543">
      <w:pPr>
        <w:spacing w:before="0" w:after="0"/>
      </w:pPr>
      <w:r>
        <w:separator/>
      </w:r>
    </w:p>
  </w:endnote>
  <w:endnote w:type="continuationSeparator" w:id="0">
    <w:p w:rsidR="00B0586F" w:rsidRDefault="00B0586F" w:rsidP="00AE55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543" w:rsidRDefault="00AE5543" w:rsidP="00AE5543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86F" w:rsidRDefault="00B0586F" w:rsidP="00AE5543">
      <w:pPr>
        <w:spacing w:before="0" w:after="0"/>
      </w:pPr>
      <w:r>
        <w:separator/>
      </w:r>
    </w:p>
  </w:footnote>
  <w:footnote w:type="continuationSeparator" w:id="0">
    <w:p w:rsidR="00B0586F" w:rsidRDefault="00B0586F" w:rsidP="00AE554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543" w:rsidRPr="0018049F" w:rsidRDefault="00B0586F" w:rsidP="00AE554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B0586F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5543" w:rsidRPr="0018049F" w:rsidRDefault="00AE5543" w:rsidP="00AE554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AE5543" w:rsidRDefault="00AE5543" w:rsidP="00AE554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AE5543" w:rsidRDefault="00AE5543" w:rsidP="00AE554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3C1F"/>
    <w:rsid w:val="000F7751"/>
    <w:rsid w:val="0018049F"/>
    <w:rsid w:val="002A6BAF"/>
    <w:rsid w:val="00524060"/>
    <w:rsid w:val="005D13BD"/>
    <w:rsid w:val="00652E8A"/>
    <w:rsid w:val="00771958"/>
    <w:rsid w:val="008B7BC0"/>
    <w:rsid w:val="008D0077"/>
    <w:rsid w:val="008D770F"/>
    <w:rsid w:val="009D4C4B"/>
    <w:rsid w:val="009F4005"/>
    <w:rsid w:val="00A53197"/>
    <w:rsid w:val="00AE5543"/>
    <w:rsid w:val="00AF43E7"/>
    <w:rsid w:val="00B0586F"/>
    <w:rsid w:val="00C95A0B"/>
    <w:rsid w:val="00D6142D"/>
    <w:rsid w:val="00DF7C19"/>
    <w:rsid w:val="00E30878"/>
    <w:rsid w:val="00E41B2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AE5543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E5543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AE5543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AE5543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E5543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07053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53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3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3579</Characters>
  <Application>Microsoft Office Word</Application>
  <DocSecurity>0</DocSecurity>
  <Lines>29</Lines>
  <Paragraphs>8</Paragraphs>
  <ScaleCrop>false</ScaleCrop>
  <Company>ANVISA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2018-01-31T18:57:00Z</cp:lastPrinted>
  <dcterms:created xsi:type="dcterms:W3CDTF">2018-08-16T18:35:00Z</dcterms:created>
  <dcterms:modified xsi:type="dcterms:W3CDTF">2018-08-16T18:35:00Z</dcterms:modified>
</cp:coreProperties>
</file>