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CD0" w:rsidRPr="003E0920" w:rsidRDefault="003E0920" w:rsidP="003E0920">
      <w:pPr>
        <w:jc w:val="center"/>
        <w:rPr>
          <w:b/>
          <w:bCs/>
          <w:sz w:val="24"/>
          <w:szCs w:val="24"/>
        </w:rPr>
      </w:pPr>
      <w:bookmarkStart w:id="0" w:name="_GoBack"/>
      <w:bookmarkEnd w:id="0"/>
      <w:r w:rsidRPr="003E0920">
        <w:rPr>
          <w:b/>
          <w:bCs/>
          <w:sz w:val="24"/>
          <w:szCs w:val="24"/>
        </w:rPr>
        <w:t>RESOLUÇÃO DA DIRETORIA COLEGIADA - RDC Nº 123, DE 13 DE MAIO DE 2004</w:t>
      </w:r>
    </w:p>
    <w:p w:rsidR="003E0920" w:rsidRPr="003E0920" w:rsidRDefault="003E0920" w:rsidP="003E0920">
      <w:pPr>
        <w:jc w:val="center"/>
        <w:rPr>
          <w:b/>
          <w:bCs/>
          <w:sz w:val="24"/>
          <w:szCs w:val="24"/>
        </w:rPr>
      </w:pPr>
    </w:p>
    <w:p w:rsidR="003E0920" w:rsidRPr="003E0920" w:rsidRDefault="003E0920" w:rsidP="003E0920">
      <w:pPr>
        <w:pStyle w:val="Recuodecorpodetexto2"/>
        <w:ind w:firstLine="0"/>
        <w:jc w:val="center"/>
        <w:rPr>
          <w:rFonts w:ascii="Times New Roman" w:hAnsi="Times New Roman" w:cs="Times New Roman"/>
          <w:b/>
          <w:bCs/>
          <w:color w:val="0000FF"/>
        </w:rPr>
      </w:pPr>
      <w:r w:rsidRPr="003E0920">
        <w:rPr>
          <w:rFonts w:ascii="Times New Roman" w:hAnsi="Times New Roman" w:cs="Times New Roman"/>
          <w:b/>
          <w:bCs/>
          <w:color w:val="0000FF"/>
        </w:rPr>
        <w:t>(Publicada no DOU nº 92, de 14 de maio de 2004)</w:t>
      </w:r>
    </w:p>
    <w:p w:rsidR="003E0920" w:rsidRPr="003E0920" w:rsidRDefault="003E0920" w:rsidP="003E0920">
      <w:pPr>
        <w:rPr>
          <w:b/>
          <w:bCs/>
          <w:sz w:val="24"/>
          <w:szCs w:val="24"/>
        </w:rPr>
      </w:pPr>
    </w:p>
    <w:p w:rsidR="00EA4CD0" w:rsidRPr="003E0920" w:rsidRDefault="00EA4CD0">
      <w:pPr>
        <w:ind w:firstLine="567"/>
        <w:rPr>
          <w:sz w:val="24"/>
          <w:szCs w:val="24"/>
        </w:rPr>
      </w:pPr>
    </w:p>
    <w:p w:rsidR="00EA4CD0" w:rsidRPr="003E0920" w:rsidRDefault="00EA4CD0">
      <w:pPr>
        <w:ind w:firstLine="567"/>
        <w:jc w:val="both"/>
        <w:rPr>
          <w:sz w:val="24"/>
          <w:szCs w:val="24"/>
        </w:rPr>
      </w:pPr>
      <w:r w:rsidRPr="003E0920">
        <w:rPr>
          <w:b/>
          <w:bCs/>
          <w:sz w:val="24"/>
          <w:szCs w:val="24"/>
        </w:rPr>
        <w:t>A Diretoria Colegiada da Agência Nacional de Vigilância Sanitária</w:t>
      </w:r>
      <w:r w:rsidRPr="003E0920">
        <w:rPr>
          <w:sz w:val="24"/>
          <w:szCs w:val="24"/>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10 de maio de 2004,</w:t>
      </w:r>
    </w:p>
    <w:p w:rsidR="00EA4CD0" w:rsidRPr="003E0920" w:rsidRDefault="00EA4CD0">
      <w:pPr>
        <w:tabs>
          <w:tab w:val="left" w:pos="490"/>
        </w:tabs>
        <w:ind w:firstLine="567"/>
        <w:jc w:val="both"/>
        <w:rPr>
          <w:sz w:val="24"/>
          <w:szCs w:val="24"/>
        </w:rPr>
      </w:pPr>
    </w:p>
    <w:p w:rsidR="00EA4CD0" w:rsidRPr="003E0920" w:rsidRDefault="00EA4CD0">
      <w:pPr>
        <w:tabs>
          <w:tab w:val="left" w:pos="490"/>
        </w:tabs>
        <w:ind w:firstLine="567"/>
        <w:rPr>
          <w:sz w:val="24"/>
          <w:szCs w:val="24"/>
        </w:rPr>
      </w:pPr>
      <w:r w:rsidRPr="003E0920">
        <w:rPr>
          <w:sz w:val="24"/>
          <w:szCs w:val="24"/>
        </w:rPr>
        <w:t>considerando a necessidade do constante aperfeiçoamento das ações de controle sanitário na área de alimentos visando a proteção à saúde da população;</w:t>
      </w:r>
    </w:p>
    <w:p w:rsidR="00EA4CD0" w:rsidRPr="003E0920" w:rsidRDefault="00EA4CD0">
      <w:pPr>
        <w:tabs>
          <w:tab w:val="left" w:pos="490"/>
        </w:tabs>
        <w:ind w:firstLine="567"/>
        <w:rPr>
          <w:sz w:val="24"/>
          <w:szCs w:val="24"/>
        </w:rPr>
      </w:pPr>
    </w:p>
    <w:p w:rsidR="00EA4CD0" w:rsidRPr="003E0920" w:rsidRDefault="00EA4CD0">
      <w:pPr>
        <w:tabs>
          <w:tab w:val="left" w:pos="490"/>
        </w:tabs>
        <w:ind w:firstLine="567"/>
        <w:rPr>
          <w:sz w:val="24"/>
          <w:szCs w:val="24"/>
        </w:rPr>
      </w:pPr>
      <w:r w:rsidRPr="003E0920">
        <w:rPr>
          <w:sz w:val="24"/>
          <w:szCs w:val="24"/>
        </w:rPr>
        <w:t>considerando a importância de compatibilizar a legislação nacional com base nos instrumentos harmonizados no Mercosul relacionados à rotulagem de alimentos embalados - Resolução GMC/ MERCOSUL nº 26/03;</w:t>
      </w:r>
    </w:p>
    <w:p w:rsidR="00EA4CD0" w:rsidRPr="003E0920" w:rsidRDefault="00EA4CD0">
      <w:pPr>
        <w:tabs>
          <w:tab w:val="left" w:pos="490"/>
        </w:tabs>
        <w:ind w:firstLine="567"/>
        <w:jc w:val="both"/>
        <w:rPr>
          <w:sz w:val="24"/>
          <w:szCs w:val="24"/>
        </w:rPr>
      </w:pPr>
    </w:p>
    <w:p w:rsidR="00EA4CD0" w:rsidRPr="003E0920" w:rsidRDefault="00EA4CD0">
      <w:pPr>
        <w:tabs>
          <w:tab w:val="left" w:pos="490"/>
        </w:tabs>
        <w:ind w:firstLine="567"/>
        <w:jc w:val="both"/>
        <w:rPr>
          <w:sz w:val="24"/>
          <w:szCs w:val="24"/>
        </w:rPr>
      </w:pPr>
      <w:r w:rsidRPr="003E0920">
        <w:rPr>
          <w:sz w:val="24"/>
          <w:szCs w:val="24"/>
        </w:rPr>
        <w:t>adota a seguinte Resolução da Diretoria Colegiada, e eu Diretor-Presidente, determino sua publicação:</w:t>
      </w:r>
    </w:p>
    <w:p w:rsidR="00EA4CD0" w:rsidRPr="003E0920" w:rsidRDefault="00EA4CD0">
      <w:pPr>
        <w:tabs>
          <w:tab w:val="left" w:pos="490"/>
        </w:tabs>
        <w:ind w:firstLine="567"/>
        <w:jc w:val="both"/>
        <w:rPr>
          <w:sz w:val="24"/>
          <w:szCs w:val="24"/>
        </w:rPr>
      </w:pPr>
    </w:p>
    <w:p w:rsidR="00EA4CD0" w:rsidRPr="003E0920" w:rsidRDefault="00EA4CD0">
      <w:pPr>
        <w:ind w:firstLine="567"/>
        <w:jc w:val="both"/>
        <w:rPr>
          <w:color w:val="000000"/>
          <w:sz w:val="24"/>
          <w:szCs w:val="24"/>
        </w:rPr>
      </w:pPr>
      <w:r w:rsidRPr="003E0920">
        <w:rPr>
          <w:sz w:val="24"/>
          <w:szCs w:val="24"/>
        </w:rPr>
        <w:t xml:space="preserve">Art. 1º O subitem 3.3., do Anexo da Resolução da Diretoria Colegiada-RDC nº </w:t>
      </w:r>
      <w:r w:rsidR="003E0920">
        <w:rPr>
          <w:sz w:val="24"/>
          <w:szCs w:val="24"/>
        </w:rPr>
        <w:t xml:space="preserve">259, de 20 de setembro de 2002 </w:t>
      </w:r>
      <w:r w:rsidRPr="003E0920">
        <w:rPr>
          <w:sz w:val="24"/>
          <w:szCs w:val="24"/>
        </w:rPr>
        <w:t>(</w:t>
      </w:r>
      <w:r w:rsidRPr="003E0920">
        <w:rPr>
          <w:color w:val="000000"/>
          <w:sz w:val="24"/>
          <w:szCs w:val="24"/>
        </w:rPr>
        <w:t>REGULAMENTO TÉCNICO PARA ROTULAGEM DE ALIMENTOS EMBALADOS), passa vigorar com a seguinte redação:</w:t>
      </w:r>
    </w:p>
    <w:p w:rsidR="00EA4CD0" w:rsidRPr="003E0920" w:rsidRDefault="00EA4CD0">
      <w:pPr>
        <w:tabs>
          <w:tab w:val="left" w:pos="490"/>
        </w:tabs>
        <w:ind w:firstLine="567"/>
        <w:jc w:val="both"/>
        <w:rPr>
          <w:sz w:val="24"/>
          <w:szCs w:val="24"/>
        </w:rPr>
      </w:pPr>
    </w:p>
    <w:p w:rsidR="00EA4CD0" w:rsidRPr="003E0920" w:rsidRDefault="00EA4CD0">
      <w:pPr>
        <w:tabs>
          <w:tab w:val="left" w:pos="490"/>
        </w:tabs>
        <w:ind w:firstLine="567"/>
        <w:jc w:val="both"/>
        <w:rPr>
          <w:color w:val="000000"/>
          <w:sz w:val="24"/>
          <w:szCs w:val="24"/>
        </w:rPr>
      </w:pPr>
      <w:r w:rsidRPr="003E0920">
        <w:rPr>
          <w:color w:val="000000"/>
          <w:sz w:val="24"/>
          <w:szCs w:val="24"/>
        </w:rPr>
        <w:t>“3.3. Quando os alimentos são fabricados segundo tecnologias características de diferentes lugares geográficos, para obter alimentos com propriedades sensoriais semelhantes ou parecidas com aquelas que são típicas de certas zonas reconhecidas, na denominação do alimento deve figurar a expressão "tipo", com letras de igual tamanho, realce e visibilidade que as correspondentes à denominação aprovada no regulamento vigente no país de consumo.</w:t>
      </w:r>
    </w:p>
    <w:p w:rsidR="00EA4CD0" w:rsidRPr="003E0920" w:rsidRDefault="00EA4CD0">
      <w:pPr>
        <w:tabs>
          <w:tab w:val="left" w:pos="490"/>
        </w:tabs>
        <w:ind w:firstLine="567"/>
        <w:jc w:val="both"/>
        <w:rPr>
          <w:color w:val="000000"/>
          <w:sz w:val="24"/>
          <w:szCs w:val="24"/>
        </w:rPr>
      </w:pPr>
    </w:p>
    <w:p w:rsidR="00EA4CD0" w:rsidRPr="003E0920" w:rsidRDefault="00EA4CD0">
      <w:pPr>
        <w:tabs>
          <w:tab w:val="left" w:pos="490"/>
        </w:tabs>
        <w:ind w:firstLine="567"/>
        <w:jc w:val="both"/>
        <w:rPr>
          <w:sz w:val="24"/>
          <w:szCs w:val="24"/>
        </w:rPr>
      </w:pPr>
      <w:r w:rsidRPr="003E0920">
        <w:rPr>
          <w:sz w:val="24"/>
          <w:szCs w:val="24"/>
        </w:rPr>
        <w:t>Não se poderá utilizar a expressão “tipo”, para denominar vinhos e bebidas alcoólicas com estas características.”</w:t>
      </w:r>
    </w:p>
    <w:p w:rsidR="00EA4CD0" w:rsidRPr="003E0920" w:rsidRDefault="00EA4CD0">
      <w:pPr>
        <w:tabs>
          <w:tab w:val="left" w:pos="490"/>
        </w:tabs>
        <w:ind w:firstLine="567"/>
        <w:jc w:val="both"/>
        <w:rPr>
          <w:sz w:val="24"/>
          <w:szCs w:val="24"/>
        </w:rPr>
      </w:pPr>
    </w:p>
    <w:p w:rsidR="00EA4CD0" w:rsidRPr="003E0920" w:rsidRDefault="00EA4CD0">
      <w:pPr>
        <w:tabs>
          <w:tab w:val="left" w:pos="490"/>
        </w:tabs>
        <w:ind w:firstLine="567"/>
        <w:jc w:val="both"/>
        <w:rPr>
          <w:sz w:val="24"/>
          <w:szCs w:val="24"/>
        </w:rPr>
      </w:pPr>
      <w:r w:rsidRPr="003E0920">
        <w:rPr>
          <w:sz w:val="24"/>
          <w:szCs w:val="24"/>
        </w:rPr>
        <w:t>Art. 2º Esta Resolução entra em vigor na data de sua publicação.</w:t>
      </w:r>
    </w:p>
    <w:p w:rsidR="00EA4CD0" w:rsidRPr="003E0920" w:rsidRDefault="00EA4CD0">
      <w:pPr>
        <w:tabs>
          <w:tab w:val="left" w:pos="490"/>
        </w:tabs>
        <w:jc w:val="both"/>
        <w:rPr>
          <w:sz w:val="24"/>
          <w:szCs w:val="24"/>
        </w:rPr>
      </w:pPr>
    </w:p>
    <w:p w:rsidR="00EA4CD0" w:rsidRPr="003E0920" w:rsidRDefault="00EA4CD0">
      <w:pPr>
        <w:tabs>
          <w:tab w:val="left" w:pos="490"/>
        </w:tabs>
        <w:jc w:val="both"/>
        <w:rPr>
          <w:sz w:val="24"/>
          <w:szCs w:val="24"/>
        </w:rPr>
      </w:pPr>
    </w:p>
    <w:p w:rsidR="00EA4CD0" w:rsidRPr="003E0920" w:rsidRDefault="00EA4CD0">
      <w:pPr>
        <w:tabs>
          <w:tab w:val="left" w:pos="490"/>
        </w:tabs>
        <w:jc w:val="both"/>
        <w:rPr>
          <w:sz w:val="24"/>
          <w:szCs w:val="24"/>
        </w:rPr>
      </w:pPr>
    </w:p>
    <w:p w:rsidR="00EA4CD0" w:rsidRPr="003E0920" w:rsidRDefault="00EA4CD0">
      <w:pPr>
        <w:tabs>
          <w:tab w:val="left" w:pos="490"/>
        </w:tabs>
        <w:jc w:val="center"/>
        <w:rPr>
          <w:sz w:val="24"/>
          <w:szCs w:val="24"/>
        </w:rPr>
      </w:pPr>
      <w:r w:rsidRPr="003E0920">
        <w:rPr>
          <w:sz w:val="24"/>
          <w:szCs w:val="24"/>
        </w:rPr>
        <w:t>CLÁUDIO MAIEROVITCH PESSANHA HENRIQUES</w:t>
      </w:r>
    </w:p>
    <w:sectPr w:rsidR="00EA4CD0" w:rsidRPr="003E0920" w:rsidSect="003E0920">
      <w:headerReference w:type="default" r:id="rId7"/>
      <w:footerReference w:type="default" r:id="rId8"/>
      <w:pgSz w:w="11907" w:h="16840" w:code="9"/>
      <w:pgMar w:top="1886" w:right="1080" w:bottom="1440" w:left="1080" w:header="0" w:footer="303"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E73" w:rsidRDefault="00E34E73">
      <w:r>
        <w:separator/>
      </w:r>
    </w:p>
  </w:endnote>
  <w:endnote w:type="continuationSeparator" w:id="0">
    <w:p w:rsidR="00E34E73" w:rsidRDefault="00E3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920" w:rsidRDefault="003E0920" w:rsidP="003E0920">
    <w:pPr>
      <w:pStyle w:val="Rodap"/>
      <w:jc w:val="center"/>
    </w:pPr>
    <w:r>
      <w:rPr>
        <w:rFonts w:ascii="Calibri" w:hAnsi="Calibri"/>
        <w:color w:val="943634"/>
      </w:rPr>
      <w:t>Este texto não substitui o(s) publicado(s) em Diário Oficial da União.</w:t>
    </w:r>
  </w:p>
  <w:p w:rsidR="00EA4CD0" w:rsidRDefault="00EA4CD0">
    <w:pPr>
      <w:pStyle w:val="Rodap"/>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E73" w:rsidRDefault="00E34E73">
      <w:r>
        <w:separator/>
      </w:r>
    </w:p>
  </w:footnote>
  <w:footnote w:type="continuationSeparator" w:id="0">
    <w:p w:rsidR="00E34E73" w:rsidRDefault="00E34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920" w:rsidRPr="003E0920" w:rsidRDefault="003E0920">
    <w:pPr>
      <w:pStyle w:val="Cabealho"/>
      <w:rPr>
        <w:sz w:val="24"/>
      </w:rPr>
    </w:pPr>
  </w:p>
  <w:p w:rsidR="003E0920" w:rsidRPr="003E0920" w:rsidRDefault="003E0920" w:rsidP="003E0920">
    <w:pPr>
      <w:tabs>
        <w:tab w:val="center" w:pos="4252"/>
        <w:tab w:val="right" w:pos="8504"/>
      </w:tabs>
      <w:jc w:val="center"/>
      <w:rPr>
        <w:rFonts w:ascii="Calibri" w:hAnsi="Calibri"/>
        <w:sz w:val="24"/>
      </w:rPr>
    </w:pPr>
    <w:r w:rsidRPr="003E0920">
      <w:rPr>
        <w:rFonts w:ascii="Calibri" w:hAnsi="Calibri"/>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3E0920" w:rsidRPr="003E0920" w:rsidRDefault="003E0920" w:rsidP="003E0920">
    <w:pPr>
      <w:tabs>
        <w:tab w:val="center" w:pos="4252"/>
        <w:tab w:val="right" w:pos="8504"/>
      </w:tabs>
      <w:jc w:val="center"/>
      <w:rPr>
        <w:rFonts w:ascii="Calibri" w:hAnsi="Calibri"/>
        <w:b/>
        <w:sz w:val="24"/>
      </w:rPr>
    </w:pPr>
    <w:r w:rsidRPr="003E0920">
      <w:rPr>
        <w:rFonts w:ascii="Calibri" w:hAnsi="Calibri"/>
        <w:b/>
        <w:sz w:val="24"/>
      </w:rPr>
      <w:t>Ministério da Saúde - MS</w:t>
    </w:r>
  </w:p>
  <w:p w:rsidR="003E0920" w:rsidRPr="003E0920" w:rsidRDefault="003E0920" w:rsidP="003E0920">
    <w:pPr>
      <w:pStyle w:val="Cabealho"/>
      <w:jc w:val="center"/>
      <w:rPr>
        <w:rFonts w:ascii="Calibri" w:hAnsi="Calibri"/>
        <w:b/>
        <w:sz w:val="24"/>
      </w:rPr>
    </w:pPr>
    <w:r w:rsidRPr="003E0920">
      <w:rPr>
        <w:rFonts w:ascii="Calibri" w:hAnsi="Calibri"/>
        <w:b/>
        <w:sz w:val="24"/>
      </w:rPr>
      <w:t>Agência Nacional de Vigilância Sanitária – ANVISA</w:t>
    </w:r>
  </w:p>
  <w:p w:rsidR="003E0920" w:rsidRDefault="003E0920" w:rsidP="003E0920">
    <w:pPr>
      <w:pStyle w:val="Cabealho"/>
      <w:jc w:val="center"/>
      <w:rPr>
        <w:rFonts w:ascii="Calibri" w:hAnsi="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A4CD0"/>
    <w:rsid w:val="002D5A6A"/>
    <w:rsid w:val="003E0920"/>
    <w:rsid w:val="00E34E73"/>
    <w:rsid w:val="00EA4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b/>
      <w:bCs/>
      <w:sz w:val="24"/>
      <w:szCs w:val="24"/>
    </w:rPr>
  </w:style>
  <w:style w:type="paragraph" w:styleId="Ttulo2">
    <w:name w:val="heading 2"/>
    <w:basedOn w:val="Normal"/>
    <w:next w:val="Normal"/>
    <w:link w:val="Ttulo2Char"/>
    <w:uiPriority w:val="99"/>
    <w:qFormat/>
    <w:pPr>
      <w:keepNext/>
      <w:tabs>
        <w:tab w:val="left" w:pos="9923"/>
      </w:tabs>
      <w:jc w:val="both"/>
      <w:outlineLvl w:val="1"/>
    </w:pPr>
    <w:rPr>
      <w:b/>
      <w:bCs/>
      <w:sz w:val="24"/>
      <w:szCs w:val="24"/>
    </w:rPr>
  </w:style>
  <w:style w:type="paragraph" w:styleId="Ttulo3">
    <w:name w:val="heading 3"/>
    <w:basedOn w:val="Normal"/>
    <w:next w:val="Normal"/>
    <w:link w:val="Ttulo3Char"/>
    <w:uiPriority w:val="99"/>
    <w:qFormat/>
    <w:pPr>
      <w:keepNext/>
      <w:ind w:firstLine="709"/>
      <w:jc w:val="center"/>
      <w:outlineLvl w:val="2"/>
    </w:pPr>
    <w:rPr>
      <w:b/>
      <w:bCs/>
      <w:sz w:val="24"/>
      <w:szCs w:val="24"/>
    </w:rPr>
  </w:style>
  <w:style w:type="paragraph" w:styleId="Ttulo4">
    <w:name w:val="heading 4"/>
    <w:basedOn w:val="Normal"/>
    <w:next w:val="Normal"/>
    <w:link w:val="Ttulo4Char"/>
    <w:uiPriority w:val="99"/>
    <w:qFormat/>
    <w:pPr>
      <w:keepNext/>
      <w:tabs>
        <w:tab w:val="left" w:pos="9923"/>
      </w:tabs>
      <w:jc w:val="center"/>
      <w:outlineLvl w:val="3"/>
    </w:pPr>
    <w:rPr>
      <w:rFonts w:ascii="Arial" w:hAnsi="Arial" w:cs="Arial"/>
      <w:b/>
      <w:bCs/>
      <w:sz w:val="18"/>
      <w:szCs w:val="18"/>
    </w:rPr>
  </w:style>
  <w:style w:type="paragraph" w:styleId="Ttulo5">
    <w:name w:val="heading 5"/>
    <w:basedOn w:val="Normal"/>
    <w:next w:val="Normal"/>
    <w:link w:val="Ttulo5Char"/>
    <w:uiPriority w:val="99"/>
    <w:qFormat/>
    <w:pPr>
      <w:keepNext/>
      <w:jc w:val="center"/>
      <w:outlineLvl w:val="4"/>
    </w:pPr>
    <w:rPr>
      <w:b/>
      <w:bCs/>
    </w:rPr>
  </w:style>
  <w:style w:type="paragraph" w:styleId="Ttulo6">
    <w:name w:val="heading 6"/>
    <w:basedOn w:val="Normal"/>
    <w:next w:val="Normal"/>
    <w:link w:val="Ttulo6Char"/>
    <w:uiPriority w:val="99"/>
    <w:qFormat/>
    <w:pPr>
      <w:keepNext/>
      <w:jc w:val="both"/>
      <w:outlineLvl w:val="5"/>
    </w:pPr>
    <w:rPr>
      <w:rFonts w:ascii="Arial" w:hAnsi="Arial" w:cs="Arial"/>
      <w:b/>
      <w:bCs/>
      <w:color w:val="800080"/>
      <w:sz w:val="18"/>
      <w:szCs w:val="18"/>
    </w:rPr>
  </w:style>
  <w:style w:type="paragraph" w:styleId="Ttulo7">
    <w:name w:val="heading 7"/>
    <w:basedOn w:val="Normal"/>
    <w:next w:val="Normal"/>
    <w:link w:val="Ttulo7Char"/>
    <w:uiPriority w:val="99"/>
    <w:qFormat/>
    <w:pPr>
      <w:keepNext/>
      <w:tabs>
        <w:tab w:val="left" w:pos="9923"/>
      </w:tabs>
      <w:jc w:val="center"/>
      <w:outlineLvl w:val="6"/>
    </w:pPr>
    <w:rPr>
      <w:rFonts w:ascii="Arial" w:hAnsi="Arial" w:cs="Arial"/>
      <w:b/>
      <w:bCs/>
      <w:color w:val="FF0000"/>
      <w:sz w:val="18"/>
      <w:szCs w:val="18"/>
    </w:rPr>
  </w:style>
  <w:style w:type="paragraph" w:styleId="Ttulo8">
    <w:name w:val="heading 8"/>
    <w:basedOn w:val="Normal"/>
    <w:next w:val="Normal"/>
    <w:link w:val="Ttulo8Char"/>
    <w:uiPriority w:val="99"/>
    <w:qFormat/>
    <w:pPr>
      <w:keepNext/>
      <w:tabs>
        <w:tab w:val="left" w:pos="9923"/>
      </w:tabs>
      <w:jc w:val="center"/>
      <w:outlineLvl w:val="7"/>
    </w:pPr>
    <w:rPr>
      <w:rFonts w:ascii="Arial" w:hAnsi="Arial" w:cs="Arial"/>
      <w:b/>
      <w:bCs/>
      <w:color w:val="0000FF"/>
      <w:sz w:val="18"/>
      <w:szCs w:val="18"/>
    </w:rPr>
  </w:style>
  <w:style w:type="paragraph" w:styleId="Ttulo9">
    <w:name w:val="heading 9"/>
    <w:basedOn w:val="Normal"/>
    <w:next w:val="Normal"/>
    <w:link w:val="Ttulo9Char"/>
    <w:uiPriority w:val="99"/>
    <w:qFormat/>
    <w:pPr>
      <w:keepNext/>
      <w:jc w:val="center"/>
      <w:outlineLvl w:val="8"/>
    </w:pPr>
    <w:rPr>
      <w:rFonts w:ascii="Arial" w:hAnsi="Arial" w:cs="Arial"/>
      <w:b/>
      <w:bCs/>
      <w:color w:val="00000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Ttulo">
    <w:name w:val="Title"/>
    <w:basedOn w:val="Normal"/>
    <w:link w:val="TtuloChar"/>
    <w:uiPriority w:val="99"/>
    <w:qFormat/>
    <w:pPr>
      <w:jc w:val="center"/>
    </w:pPr>
    <w:rPr>
      <w:b/>
      <w:bCs/>
      <w:sz w:val="24"/>
      <w:szCs w:val="24"/>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Subttulo">
    <w:name w:val="Subtitle"/>
    <w:basedOn w:val="Normal"/>
    <w:link w:val="SubttuloChar"/>
    <w:uiPriority w:val="99"/>
    <w:qFormat/>
    <w:pPr>
      <w:tabs>
        <w:tab w:val="left" w:pos="9923"/>
      </w:tabs>
      <w:jc w:val="both"/>
    </w:pPr>
    <w:rPr>
      <w:color w:val="FF0000"/>
      <w:sz w:val="28"/>
      <w:szCs w:val="28"/>
    </w:rPr>
  </w:style>
  <w:style w:type="character" w:customStyle="1" w:styleId="SubttuloChar">
    <w:name w:val="Subtítulo Char"/>
    <w:basedOn w:val="Fontepargpadro"/>
    <w:link w:val="Subttulo"/>
    <w:uiPriority w:val="11"/>
    <w:locked/>
    <w:rPr>
      <w:rFonts w:asciiTheme="majorHAnsi" w:eastAsiaTheme="majorEastAsia" w:hAnsiTheme="majorHAnsi" w:cs="Times New Roman"/>
      <w:sz w:val="24"/>
      <w:szCs w:val="24"/>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jc w:val="both"/>
    </w:pPr>
    <w:rPr>
      <w:sz w:val="18"/>
      <w:szCs w:val="18"/>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rPr>
      <w:sz w:val="24"/>
      <w:szCs w:val="24"/>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customStyle="1" w:styleId="DefinitionList">
    <w:name w:val="Definition List"/>
    <w:basedOn w:val="Normal"/>
    <w:next w:val="DefinitionTerm"/>
    <w:uiPriority w:val="99"/>
    <w:pPr>
      <w:ind w:left="360"/>
    </w:pPr>
    <w:rPr>
      <w:sz w:val="24"/>
      <w:szCs w:val="24"/>
    </w:rPr>
  </w:style>
  <w:style w:type="paragraph" w:customStyle="1" w:styleId="DefinitionTerm">
    <w:name w:val="Definition Term"/>
    <w:basedOn w:val="Normal"/>
    <w:next w:val="DefinitionList"/>
    <w:uiPriority w:val="99"/>
    <w:rPr>
      <w:sz w:val="24"/>
      <w:szCs w:val="24"/>
    </w:rPr>
  </w:style>
  <w:style w:type="paragraph" w:styleId="Corpodetexto3">
    <w:name w:val="Body Text 3"/>
    <w:basedOn w:val="Normal"/>
    <w:link w:val="Corpodetexto3Char"/>
    <w:uiPriority w:val="99"/>
    <w:pPr>
      <w:tabs>
        <w:tab w:val="left" w:pos="9923"/>
      </w:tabs>
      <w:ind w:right="326"/>
      <w:jc w:val="both"/>
    </w:pPr>
    <w:rPr>
      <w:color w:val="0000FF"/>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Recuodecorpodetexto2">
    <w:name w:val="Body Text Indent 2"/>
    <w:basedOn w:val="Normal"/>
    <w:link w:val="Recuodecorpodetexto2Char"/>
    <w:uiPriority w:val="99"/>
    <w:pPr>
      <w:ind w:firstLine="708"/>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Textoembloco">
    <w:name w:val="Block Text"/>
    <w:basedOn w:val="Normal"/>
    <w:uiPriority w:val="99"/>
    <w:pPr>
      <w:tabs>
        <w:tab w:val="left" w:pos="9923"/>
      </w:tabs>
      <w:ind w:left="-210" w:right="326"/>
      <w:jc w:val="both"/>
    </w:pPr>
    <w:rPr>
      <w:sz w:val="24"/>
      <w:szCs w:val="24"/>
    </w:rPr>
  </w:style>
  <w:style w:type="paragraph" w:styleId="Recuodecorpodetexto3">
    <w:name w:val="Body Text Indent 3"/>
    <w:basedOn w:val="Normal"/>
    <w:link w:val="Recuodecorpodetexto3Char"/>
    <w:uiPriority w:val="99"/>
    <w:pPr>
      <w:ind w:left="708" w:firstLine="708"/>
    </w:pPr>
    <w:rPr>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1574</Characters>
  <Application>Microsoft Office Word</Application>
  <DocSecurity>0</DocSecurity>
  <Lines>13</Lines>
  <Paragraphs>3</Paragraphs>
  <ScaleCrop>false</ScaleCrop>
  <Company>ANVS</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BUMBUM</dc:title>
  <dc:subject/>
  <dc:creator>Afonso.Junior</dc:creator>
  <cp:keywords/>
  <dc:description/>
  <cp:lastModifiedBy>Helder Lopes da Silva</cp:lastModifiedBy>
  <cp:revision>2</cp:revision>
  <cp:lastPrinted>2004-05-13T16:01:00Z</cp:lastPrinted>
  <dcterms:created xsi:type="dcterms:W3CDTF">2019-02-04T14:02:00Z</dcterms:created>
  <dcterms:modified xsi:type="dcterms:W3CDTF">2019-02-04T14:02:00Z</dcterms:modified>
</cp:coreProperties>
</file>