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0C1C3A" w:rsidRDefault="005A613A" w:rsidP="000C1C3A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0C1C3A">
        <w:rPr>
          <w:rFonts w:ascii="Times New Roman" w:hAnsi="Times New Roman" w:cs="Times New Roman"/>
          <w:b/>
          <w:szCs w:val="24"/>
        </w:rPr>
        <w:t>RESOLUÇÃO</w:t>
      </w:r>
      <w:r w:rsidR="000C1C3A" w:rsidRPr="000C1C3A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0C1C3A">
        <w:rPr>
          <w:rFonts w:ascii="Times New Roman" w:hAnsi="Times New Roman" w:cs="Times New Roman"/>
          <w:b/>
          <w:szCs w:val="24"/>
        </w:rPr>
        <w:t xml:space="preserve"> – RDC Nº 13, DE 19 DE MARÇO DE </w:t>
      </w:r>
      <w:proofErr w:type="gramStart"/>
      <w:r w:rsidRPr="000C1C3A">
        <w:rPr>
          <w:rFonts w:ascii="Times New Roman" w:hAnsi="Times New Roman" w:cs="Times New Roman"/>
          <w:b/>
          <w:szCs w:val="24"/>
        </w:rPr>
        <w:t>2009</w:t>
      </w:r>
      <w:proofErr w:type="gramEnd"/>
    </w:p>
    <w:p w:rsidR="005A613A" w:rsidRPr="000C1C3A" w:rsidRDefault="005A613A" w:rsidP="005A613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C1C3A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54, de 20 de março de 2009</w:t>
      </w:r>
      <w:proofErr w:type="gramStart"/>
      <w:r w:rsidRPr="000C1C3A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0C1C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 Decreto Nº 3.029, de 16 de abril de 1999, e tendo em vista o disposto no inciso II e nos §§ 1o- e 3o- do art. 54 do Regimento Interno aprovado nos termos do Anexo I da Portaria Nº 354 da ANVISA, de 11 de agosto de 2006, republicada no DOU de 21 de agosto de 2006, </w:t>
      </w:r>
      <w:r w:rsidRPr="000C1C3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em reunião realizada em </w:t>
      </w:r>
      <w:proofErr w:type="gramStart"/>
      <w:r w:rsidRPr="000C1C3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</w:t>
      </w:r>
      <w:proofErr w:type="gramEnd"/>
      <w:r w:rsidRPr="000C1C3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março de 2008</w:t>
      </w: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945966"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reunião realizada em 17 de março de 2009, e</w:t>
      </w:r>
      <w:r w:rsidR="00471C1D"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5948F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</w:t>
      </w:r>
      <w:r w:rsidR="00471C1D" w:rsidRPr="000C1C3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5948F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no</w:t>
      </w:r>
      <w:r w:rsidR="00471C1D" w:rsidRPr="000C1C3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144, de 30 de julho de 2009)</w:t>
      </w:r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Adota a seguinte Resolução da Diretoria Colegiada e eu, Diretor-Presidente, determino a sua publicação:</w:t>
      </w:r>
    </w:p>
    <w:p w:rsidR="00003C3A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948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1º Alterar</w:t>
      </w: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 artigo 103 da Portaria SVS/MS Nº</w:t>
      </w:r>
      <w:bookmarkStart w:id="0" w:name="_GoBack"/>
      <w:bookmarkEnd w:id="0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. </w:t>
      </w:r>
      <w:proofErr w:type="gramStart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</w:t>
      </w:r>
      <w:proofErr w:type="gramEnd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29 de janeiro de 1999, que passa a vigorar com a seguinte redação: </w:t>
      </w:r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"Art. 103 As farmácias, inclusive a hospitalar, indústria </w:t>
      </w:r>
      <w:proofErr w:type="spellStart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farmoquímica</w:t>
      </w:r>
      <w:proofErr w:type="spellEnd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importador, distribuidor e indústria ou laboratório farmacêutico que manipule, </w:t>
      </w:r>
      <w:proofErr w:type="gramStart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produzam</w:t>
      </w:r>
      <w:proofErr w:type="gramEnd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fabriquem e/ou distribua substâncias entorpecentes (listas "A1" e "A2"), psicotrópicas (listas "A3", "B1" e "B2"), precursoras ("D1") e outras sujeitas a controle especial ("C1", "C2", "C3", "C4" e "C5"), excetuando-se insumos químicos constantes da lista "D2", devem entregar os Balanços Trimestrais e Anuais de Substâncias Psicoativas e Outras Sujeitas a Controle Especial - BSPO (ANEXO XX constante da Portaria SVS</w:t>
      </w:r>
      <w:proofErr w:type="gramStart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/MS Nº 344/98)</w:t>
      </w:r>
      <w:proofErr w:type="gramEnd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1º Os balanços trimestrais devem ser manuscritos de forma legível ou preenchidos por sistema informatizado, conforme modelo do BSPO, e deverão ser entregues até o dia 15 (quinze) dos meses de janeiro, abril, julho e outubro. Os balanços anuais devem ser entregues até o dia 31 (trinta e um) de janeiro de cada ano.</w:t>
      </w:r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 2º Os Balanços trimestrais e anuais deverão ser entregues no Órgão competente de Vigilância Sanitária em </w:t>
      </w:r>
      <w:proofErr w:type="gramStart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proofErr w:type="gramEnd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(três) vias, conforme a seguinte destinação:</w:t>
      </w:r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1ª via: a empresa ou estabelecimento deve remeter à Agência Nacional de Vigilância Sanitária/ANVISA;</w:t>
      </w:r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2ª via: retida pela Autoridade Sanitária Estadual;</w:t>
      </w:r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3ª via: retida na empresa como comprovante da entrega.</w:t>
      </w:r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 3º Excetua-se do disposto no parágrafo anterior as farmácias de manipulação as quais deverão entregar o BSPO em apenas </w:t>
      </w:r>
      <w:proofErr w:type="gramStart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vias, sendo a 1ª via retida pela Autoridade Sanitária Estadual e a 2ª via deverá ser retida na empresa como comprovante da entrega.</w:t>
      </w:r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§ 4º Quando as ações de vigilância sanitária estiverem descentralizadas, a 2ª via deverá ser entregue somente à Autoridade Sanitária local.</w:t>
      </w:r>
    </w:p>
    <w:p w:rsidR="00275FE7" w:rsidRPr="005948F3" w:rsidRDefault="00275FE7" w:rsidP="00275FE7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948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Esta Resolução entra em vigor na data de sua publicação.</w:t>
      </w:r>
    </w:p>
    <w:p w:rsidR="00275FE7" w:rsidRPr="000C1C3A" w:rsidRDefault="00275FE7" w:rsidP="00275FE7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0C1C3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</w:p>
    <w:p w:rsidR="00275FE7" w:rsidRPr="000C1C3A" w:rsidRDefault="00275FE7" w:rsidP="00275FE7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275FE7" w:rsidRPr="000C1C3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C3A" w:rsidRDefault="000C1C3A" w:rsidP="000C1C3A">
      <w:pPr>
        <w:spacing w:after="0" w:line="240" w:lineRule="auto"/>
      </w:pPr>
      <w:r>
        <w:separator/>
      </w:r>
    </w:p>
  </w:endnote>
  <w:endnote w:type="continuationSeparator" w:id="0">
    <w:p w:rsidR="000C1C3A" w:rsidRDefault="000C1C3A" w:rsidP="000C1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3A" w:rsidRPr="000C1C3A" w:rsidRDefault="000C1C3A" w:rsidP="000C1C3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C3A" w:rsidRDefault="000C1C3A" w:rsidP="000C1C3A">
      <w:pPr>
        <w:spacing w:after="0" w:line="240" w:lineRule="auto"/>
      </w:pPr>
      <w:r>
        <w:separator/>
      </w:r>
    </w:p>
  </w:footnote>
  <w:footnote w:type="continuationSeparator" w:id="0">
    <w:p w:rsidR="000C1C3A" w:rsidRDefault="000C1C3A" w:rsidP="000C1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3A" w:rsidRPr="00B517AC" w:rsidRDefault="000C1C3A" w:rsidP="000C1C3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8B6DBF8" wp14:editId="1A21AB1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1C3A" w:rsidRPr="00B517AC" w:rsidRDefault="000C1C3A" w:rsidP="000C1C3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C1C3A" w:rsidRPr="00B517AC" w:rsidRDefault="000C1C3A" w:rsidP="000C1C3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C1C3A" w:rsidRDefault="000C1C3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3A"/>
    <w:rsid w:val="00003C3A"/>
    <w:rsid w:val="000C1C3A"/>
    <w:rsid w:val="001E708B"/>
    <w:rsid w:val="00275FE7"/>
    <w:rsid w:val="00471C1D"/>
    <w:rsid w:val="005948F3"/>
    <w:rsid w:val="005A613A"/>
    <w:rsid w:val="007441BF"/>
    <w:rsid w:val="00786686"/>
    <w:rsid w:val="00945966"/>
    <w:rsid w:val="00A32CC5"/>
    <w:rsid w:val="00B30817"/>
    <w:rsid w:val="00D27DEE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75FE7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5FE7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5FE7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C1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C3A"/>
  </w:style>
  <w:style w:type="paragraph" w:styleId="Rodap">
    <w:name w:val="footer"/>
    <w:basedOn w:val="Normal"/>
    <w:link w:val="RodapChar"/>
    <w:uiPriority w:val="99"/>
    <w:unhideWhenUsed/>
    <w:rsid w:val="000C1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C3A"/>
  </w:style>
  <w:style w:type="paragraph" w:styleId="Textodebalo">
    <w:name w:val="Balloon Text"/>
    <w:basedOn w:val="Normal"/>
    <w:link w:val="TextodebaloChar"/>
    <w:uiPriority w:val="99"/>
    <w:semiHidden/>
    <w:unhideWhenUsed/>
    <w:rsid w:val="000C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75FE7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5FE7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5FE7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C1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C3A"/>
  </w:style>
  <w:style w:type="paragraph" w:styleId="Rodap">
    <w:name w:val="footer"/>
    <w:basedOn w:val="Normal"/>
    <w:link w:val="RodapChar"/>
    <w:uiPriority w:val="99"/>
    <w:unhideWhenUsed/>
    <w:rsid w:val="000C1C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C3A"/>
  </w:style>
  <w:style w:type="paragraph" w:styleId="Textodebalo">
    <w:name w:val="Balloon Text"/>
    <w:basedOn w:val="Normal"/>
    <w:link w:val="TextodebaloChar"/>
    <w:uiPriority w:val="99"/>
    <w:semiHidden/>
    <w:unhideWhenUsed/>
    <w:rsid w:val="000C1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168138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0340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0057C-9506-475C-9974-497A68726025}"/>
</file>

<file path=customXml/itemProps2.xml><?xml version="1.0" encoding="utf-8"?>
<ds:datastoreItem xmlns:ds="http://schemas.openxmlformats.org/officeDocument/2006/customXml" ds:itemID="{AFC48E31-137A-4CB1-9533-55FCD5A8258F}"/>
</file>

<file path=customXml/itemProps3.xml><?xml version="1.0" encoding="utf-8"?>
<ds:datastoreItem xmlns:ds="http://schemas.openxmlformats.org/officeDocument/2006/customXml" ds:itemID="{0D7D2BC3-3245-4D7E-8DA5-F0B377110E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7</cp:revision>
  <dcterms:created xsi:type="dcterms:W3CDTF">2015-12-03T10:38:00Z</dcterms:created>
  <dcterms:modified xsi:type="dcterms:W3CDTF">2016-11-01T17:22:00Z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