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018" w:rsidRPr="00AD2746" w:rsidRDefault="00613018" w:rsidP="00AD2746">
      <w:pPr>
        <w:pStyle w:val="Ttulo1"/>
        <w:spacing w:before="0" w:beforeAutospacing="0" w:after="200" w:afterAutospacing="0"/>
        <w:ind w:left="-567" w:right="-568"/>
        <w:divId w:val="47534118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D2746">
        <w:rPr>
          <w:rFonts w:ascii="Times New Roman" w:hAnsi="Times New Roman" w:cs="Times New Roman"/>
          <w:sz w:val="24"/>
          <w:szCs w:val="24"/>
        </w:rPr>
        <w:t>RESOLUÇÃO DA DIRETORIA COLEGIADA - RDC Nº 14, DE 5 DE ABRIL DE 2011.</w:t>
      </w:r>
    </w:p>
    <w:p w:rsidR="00AD2746" w:rsidRPr="00AD2746" w:rsidRDefault="00AD2746" w:rsidP="00AD2746">
      <w:pPr>
        <w:spacing w:before="0" w:beforeAutospacing="0" w:after="200" w:afterAutospacing="0"/>
        <w:jc w:val="center"/>
        <w:divId w:val="475341183"/>
        <w:rPr>
          <w:b/>
          <w:color w:val="0000FF"/>
        </w:rPr>
      </w:pPr>
      <w:r w:rsidRPr="00AD2746">
        <w:rPr>
          <w:b/>
          <w:color w:val="0000FF"/>
        </w:rPr>
        <w:t>(Publicada no DOU nº 69, de 11 de abril de 2011)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left="3960"/>
        <w:jc w:val="both"/>
        <w:divId w:val="475341183"/>
        <w:rPr>
          <w:color w:val="000000"/>
        </w:rPr>
      </w:pPr>
      <w:r w:rsidRPr="00AD2746">
        <w:rPr>
          <w:color w:val="000000"/>
        </w:rPr>
        <w:t>Institui o regulamento técnico com os requisitos para agrupamento de materiais de uso em saúde para fins de registro e cadastro na ANVISA e adota etiquetas de rastreabilidade para produtos implantáveis.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b/>
          <w:bCs/>
          <w:color w:val="000000"/>
        </w:rPr>
        <w:t>A Diretoria Colegiada da Agência Nacional de Vigilância Sanitária</w:t>
      </w:r>
      <w:r w:rsidRPr="00AD2746">
        <w:rPr>
          <w:color w:val="000000"/>
        </w:rPr>
        <w:t xml:space="preserve"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3 de março de 2011, 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t>adota a seguinte Resolução da Diretoria Colegiada e eu, Diretor-Presidente Substituto, determino a sua publicação: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jc w:val="center"/>
        <w:divId w:val="475341183"/>
        <w:rPr>
          <w:b/>
          <w:bCs/>
          <w:color w:val="000000"/>
        </w:rPr>
      </w:pPr>
      <w:r w:rsidRPr="00AD2746">
        <w:rPr>
          <w:b/>
          <w:bCs/>
          <w:color w:val="000000"/>
        </w:rPr>
        <w:t>CAPÍTULO I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jc w:val="center"/>
        <w:divId w:val="475341183"/>
        <w:rPr>
          <w:b/>
          <w:bCs/>
          <w:color w:val="000000"/>
        </w:rPr>
      </w:pPr>
      <w:r w:rsidRPr="00AD2746">
        <w:rPr>
          <w:b/>
          <w:bCs/>
          <w:color w:val="000000"/>
        </w:rPr>
        <w:t>DAS DISPOSIÇÕES INICIAIS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t>Art. 1° Fica aprovado o Regulamento Técnico que estabelece os requisitos para agrupamento de materiais de uso em saúde para fins de registro e cadastro na ANVISA.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jc w:val="center"/>
        <w:divId w:val="475341183"/>
        <w:rPr>
          <w:b/>
          <w:bCs/>
          <w:color w:val="000000"/>
        </w:rPr>
      </w:pPr>
      <w:r w:rsidRPr="00AD2746">
        <w:rPr>
          <w:b/>
          <w:bCs/>
          <w:color w:val="000000"/>
        </w:rPr>
        <w:t>Seção I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jc w:val="center"/>
        <w:divId w:val="475341183"/>
        <w:rPr>
          <w:b/>
          <w:bCs/>
          <w:color w:val="000000"/>
        </w:rPr>
      </w:pPr>
      <w:r w:rsidRPr="00AD2746">
        <w:rPr>
          <w:b/>
          <w:bCs/>
          <w:color w:val="000000"/>
        </w:rPr>
        <w:t>Objetivo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</w:pPr>
      <w:r w:rsidRPr="00AD2746">
        <w:rPr>
          <w:color w:val="000000"/>
        </w:rPr>
        <w:t xml:space="preserve">Art. 2° Este regulamento possui o objetivo de estabelecer as definições e os critérios para o agrupamento de materiais de uso em saúde para fins de registro e cadastro na ANVISA, </w:t>
      </w:r>
      <w:r w:rsidRPr="00AD2746">
        <w:t>e adotar etiquetas de rastreabilidade para produtos implantáveis.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jc w:val="center"/>
        <w:divId w:val="475341183"/>
        <w:rPr>
          <w:b/>
          <w:bCs/>
          <w:color w:val="000000"/>
        </w:rPr>
      </w:pPr>
      <w:r w:rsidRPr="00AD2746">
        <w:rPr>
          <w:b/>
          <w:bCs/>
          <w:color w:val="000000"/>
        </w:rPr>
        <w:t>Seção II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jc w:val="center"/>
        <w:divId w:val="475341183"/>
        <w:rPr>
          <w:b/>
          <w:bCs/>
          <w:color w:val="000000"/>
        </w:rPr>
      </w:pPr>
      <w:r w:rsidRPr="00AD2746">
        <w:rPr>
          <w:b/>
          <w:bCs/>
          <w:color w:val="000000"/>
        </w:rPr>
        <w:t>Abrangência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t>Art. 3° Este regulamento se aplica aos materiais de uso em saúde.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t>§ 1º Excluem-se deste Regulamento os produtos implantáveis aplicados na ortopedia.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t>§ 2º Excetuam-se dos critérios gerais para agrupamento dispostos nesta resolução os materiais de uso em saúde contemplados em instrução normativa de critérios específicos para agrupamento ou em demais regulamentos técnicos específicos.</w:t>
      </w:r>
    </w:p>
    <w:p w:rsidR="00AD2746" w:rsidRDefault="00AD2746" w:rsidP="00AD2746">
      <w:pPr>
        <w:autoSpaceDE w:val="0"/>
        <w:autoSpaceDN w:val="0"/>
        <w:adjustRightInd w:val="0"/>
        <w:spacing w:before="0" w:beforeAutospacing="0" w:after="200" w:afterAutospacing="0"/>
        <w:jc w:val="both"/>
        <w:divId w:val="475341183"/>
        <w:rPr>
          <w:b/>
          <w:bCs/>
          <w:color w:val="000000"/>
        </w:rPr>
      </w:pP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jc w:val="center"/>
        <w:divId w:val="475341183"/>
        <w:rPr>
          <w:b/>
          <w:bCs/>
          <w:color w:val="000000"/>
        </w:rPr>
      </w:pPr>
      <w:r w:rsidRPr="00AD2746">
        <w:rPr>
          <w:b/>
          <w:bCs/>
          <w:color w:val="000000"/>
        </w:rPr>
        <w:t>Seção III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jc w:val="center"/>
        <w:divId w:val="475341183"/>
        <w:rPr>
          <w:b/>
          <w:bCs/>
          <w:color w:val="000000"/>
        </w:rPr>
      </w:pPr>
      <w:r w:rsidRPr="00AD2746">
        <w:rPr>
          <w:b/>
          <w:bCs/>
          <w:color w:val="000000"/>
        </w:rPr>
        <w:t>Definições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jc w:val="both"/>
        <w:divId w:val="475341183"/>
        <w:rPr>
          <w:b/>
          <w:bCs/>
          <w:color w:val="000000"/>
        </w:rPr>
      </w:pP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t>Art. 4° Para efeito deste Regulamento Técnico são adotadas as seguintes definições: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t>I – acessório: produto fabricado exclusivamente com o propósito de integrar um produto médico outorgando a este uma função ou característica técnica complementar;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t>II - apresentação comercial: todos os modos de como o produto é apresentado ao consumo, incluindo descrição da forma de acondicionamento e do conteúdo das embalagens;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t>III - conjunto (kit, set ou bandeja): agrupamento de materiais de uso em saúde de um mesmo fabricante ou grupo fabril, utilizados em um procedimento específico e que, isoladamente, não mantêm relação de interdependência para obtenção da funcionalidade e desempenho a que se destina;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t>IV - etiqueta de rastreabilidade:</w:t>
      </w:r>
      <w:r w:rsidRPr="00AD2746">
        <w:rPr>
          <w:b/>
          <w:bCs/>
          <w:color w:val="000000"/>
        </w:rPr>
        <w:t xml:space="preserve"> </w:t>
      </w:r>
      <w:r w:rsidRPr="00AD2746">
        <w:rPr>
          <w:color w:val="000000"/>
        </w:rPr>
        <w:t>documento complementar a ser fornecido com o material de uso em saúde, contendo campo para inserção das seguintes informações: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t>a) nome ou modelo comercial;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t>b) identificação do fabricante ou importador;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t>c) código do produto ou do componente do sistema; e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t>d) número de lote e número de registro na ANVISA;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t xml:space="preserve">V - família de produtos: agrupamento de materiais de uso em saúde que podem pertencer a um mesmo registro ou cadastro e que seguem critérios gerais estabelecidos e, quando aplicáveis, critérios específicos ou definidos em regulamento técnico específico; 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t>VI - indicação de uso: determinação do uso a que se destina o material de uso em saúde;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t>VII - matéria-prima: substâncias que se empregam na fabricação de materiais de uso em saúde, tanto as que permanecem inalteradas quanto as passíveis de sofrer modificações;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</w:pPr>
      <w:r w:rsidRPr="00AD2746">
        <w:rPr>
          <w:color w:val="000000"/>
        </w:rPr>
        <w:t xml:space="preserve">VIII - materiais de uso em saúde implantáveis: </w:t>
      </w:r>
      <w:r w:rsidRPr="00AD2746">
        <w:t xml:space="preserve">qualquer material de uso em saúde projetado para ser totalmente ou parcialmente introduzido no corpo humano ou </w:t>
      </w:r>
      <w:r w:rsidRPr="00AD2746">
        <w:lastRenderedPageBreak/>
        <w:t>para substituir uma superfície epitelial ou ocular, por meio de intervenção cirúrgica, e destinado a permanecer no local após a intervenção e permanecer após esta intervenção por mais de 30 dias;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</w:pPr>
      <w:r w:rsidRPr="00AD2746">
        <w:rPr>
          <w:color w:val="000000"/>
        </w:rPr>
        <w:t>IX - materiais de uso em saúde implantáveis de uso permanente: q</w:t>
      </w:r>
      <w:r w:rsidRPr="00AD2746">
        <w:t>ualquer material de uso em saúde projetado para ser totalmente ou parcialmente introduzido no corpo humano ou para substituir uma superfície epitelial ou ocular, por meio de intervenção cirúrgica, e destinado a permanecer no local após a intervenção e permanecer após esta intervenção por período indeterminado;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t>X - mecanismo de ação: princípio de funcionamento de um material de uso em saúde, modo que age ou interage com o organismo de maneira a obter a finalidade a que se propõe;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t>XI - modelo comercial: material de uso em saúde que faz parte de uma família;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t>XII - parte: componente fabricado exclusivamente com o propósito de integrar um produto para a saúde, sem o qual o produto é funcionalmente deficiente ou inoperante;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t>XIII - sistema: produto de um mesmo fabricante ou grupo fabril, constituído por componentes complementares e compatíveis e de uso exclusivo entre si, para uma função única e específica, que mantêm relação de interdependência para obtenção da funcionalidade, destinada a um determinado procedimento e cujo desempenho somente é obtido se utilizados de forma integrada.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jc w:val="center"/>
        <w:divId w:val="475341183"/>
        <w:rPr>
          <w:b/>
          <w:bCs/>
          <w:color w:val="000000"/>
        </w:rPr>
      </w:pPr>
      <w:r w:rsidRPr="00AD2746">
        <w:rPr>
          <w:b/>
          <w:bCs/>
          <w:color w:val="000000"/>
        </w:rPr>
        <w:t>CAPÍTULO II</w:t>
      </w:r>
    </w:p>
    <w:p w:rsidR="00613018" w:rsidRPr="00AD2746" w:rsidRDefault="00CE5312" w:rsidP="00AD2746">
      <w:pPr>
        <w:autoSpaceDE w:val="0"/>
        <w:autoSpaceDN w:val="0"/>
        <w:adjustRightInd w:val="0"/>
        <w:spacing w:before="0" w:beforeAutospacing="0" w:after="200" w:afterAutospacing="0"/>
        <w:jc w:val="center"/>
        <w:divId w:val="475341183"/>
        <w:rPr>
          <w:b/>
          <w:bCs/>
          <w:color w:val="000000"/>
        </w:rPr>
      </w:pPr>
      <w:r w:rsidRPr="00AD2746">
        <w:rPr>
          <w:b/>
          <w:bCs/>
          <w:color w:val="000000"/>
        </w:rPr>
        <w:t>REGULAMENTO TÉCNICO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t>Art. 5° Os sistemas e conjuntos de materiais de uso em saúde se equiparam às famílias para fins de recolhimento de taxas de vigilância sanitária.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t>Art. 6° Devem ser declarados no Formulário do Fabricante ou Importador e no Relatório Técnico apresentados na documentação dos processos de registro</w:t>
      </w:r>
      <w:r w:rsidRPr="00AD2746">
        <w:t>,</w:t>
      </w:r>
      <w:r w:rsidRPr="00AD2746">
        <w:rPr>
          <w:color w:val="000000"/>
        </w:rPr>
        <w:t xml:space="preserve"> e no </w:t>
      </w:r>
      <w:r w:rsidRPr="00AD2746">
        <w:t xml:space="preserve">Formulário para cadastro de materiais para uso em saúde </w:t>
      </w:r>
      <w:r w:rsidRPr="00AD2746">
        <w:rPr>
          <w:color w:val="000000"/>
        </w:rPr>
        <w:t>apresentado na documentação dos processos de cadastro ou petições, quando couber, os códigos ou nomes associados aos modelos comerciais, partes, componentes e acessórios dos materiais de uso em saúde, bem como as variações de dimensão.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t>Art. 7º Deve ser apresentada como documento em anexo ao processo de registro e cadastro ou petições, a tabela comparativa dos modelos comerciais, partes, componentes e acessórios dos materiais de uso em saúde.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t>Art. 8° Os materiais de uso em saúde com diferentes concentrações, obedecendo a todos os critérios gerais, podem ser agrupados em família.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t>Art. 9° São critérios gerais para agrupamento em família de materiais de uso em saúde: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lastRenderedPageBreak/>
        <w:t xml:space="preserve">I - os materiais de uso em saúde sujeitos a cadastro e registro devem pertencer a um mesmo fabricante ou grupo fabril, e possuir mesmo princípio de funcionamento, mecanismo de ação, indicação de uso, contra-indicação, efeito adverso, precaução, restrição, advertência, cuidado especial, condição de armazenamento </w:t>
      </w:r>
      <w:r w:rsidRPr="00AD2746">
        <w:t>e classe de risco</w:t>
      </w:r>
      <w:r w:rsidRPr="00AD2746">
        <w:rPr>
          <w:color w:val="000000"/>
        </w:rPr>
        <w:t>;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t>II - os materiais de uso em saúde sujeitos a cadastro e registro devem possuir matéria-prima e tecnologia de fabricação semelhantes;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t xml:space="preserve">III - produtos </w:t>
      </w:r>
      <w:r w:rsidRPr="00AD2746">
        <w:t>sujeitos a cadastro e registro</w:t>
      </w:r>
      <w:r w:rsidRPr="00AD2746">
        <w:rPr>
          <w:color w:val="000000"/>
        </w:rPr>
        <w:t xml:space="preserve"> estéreis e não-estéreis não podem ser agrupados em uma mesma família;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t>IV - produtos</w:t>
      </w:r>
      <w:r w:rsidRPr="00AD2746">
        <w:rPr>
          <w:color w:val="FF0000"/>
        </w:rPr>
        <w:t xml:space="preserve"> </w:t>
      </w:r>
      <w:r w:rsidRPr="00AD2746">
        <w:t>sujeitos a cadastro e registro</w:t>
      </w:r>
      <w:r w:rsidRPr="00AD2746">
        <w:rPr>
          <w:color w:val="000000"/>
        </w:rPr>
        <w:t xml:space="preserve"> cujo fabricante recomenda uso único e produtos passíveis de reprocessamento não podem ser agrupados em uma mesma família;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t xml:space="preserve">V - produtos </w:t>
      </w:r>
      <w:r w:rsidRPr="00AD2746">
        <w:t>sujeitos a cadastro e registro</w:t>
      </w:r>
      <w:r w:rsidRPr="00AD2746">
        <w:rPr>
          <w:color w:val="000000"/>
        </w:rPr>
        <w:t xml:space="preserve"> de reprocessamento proibido e produtos passíveis de reprocessamento não podem ser agrupados em uma mesma família; e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t xml:space="preserve">VI - não é permitido </w:t>
      </w:r>
      <w:r w:rsidRPr="00AD2746">
        <w:t>cadastro e registro</w:t>
      </w:r>
      <w:r w:rsidRPr="00AD2746">
        <w:rPr>
          <w:color w:val="000000"/>
        </w:rPr>
        <w:t xml:space="preserve"> em família de conjunto ou de sistema.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t>Art. 10. As variações de cor, aroma e sabor são considerados como forma de apresentação comercial, não caracterizando família de materiais.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t>Art. 11. As variações dimensionais são consideradas modelos comerciais de família de materiais.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</w:pPr>
      <w:r w:rsidRPr="00AD2746">
        <w:rPr>
          <w:color w:val="000000"/>
        </w:rPr>
        <w:t xml:space="preserve">Art. 12. </w:t>
      </w:r>
      <w:r w:rsidRPr="00AD2746">
        <w:t>Não é permitida variação da apresentação comercial com a exclusão de componentes ou materiais no processo de cadastro ou registro de sistema ou conjunto.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t>§ 1º Para fins de reposição, os componentes do sistema podem ser comercializados separadamente desde que sejam de uso exclusivo deste.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t>§ 2º Devem constar no rótulo e instruções de uso do componente de reposição do sistema: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t>I - o nome comercial do sistema e o nome do componente de reposição, conforme informado no processo de registro; e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t>II - os dizeres “componente de reposição para uso exclusivo no sistema”.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t>Art. 13. Para fins de reposição, os materiais do conjunto de instrumentais, destinado exclusivamente a um procedimento específico, podem ser comercializados separadamente, desde que sejam de uso exclusivo deste.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t>Parágrafo único. Devem constar no rótulo e instruções de uso do componente de reposição do conjunto de instrumentais: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lastRenderedPageBreak/>
        <w:t>I - o nome comercial do conjunto e o nome do componente de reposição, conforme informado no processo de cadastro ou registro; e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t>II - os dizeres “componente de reposição para uso exclusivo no conjunto de instrumental”.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t xml:space="preserve">Art. 14. </w:t>
      </w:r>
      <w:r w:rsidRPr="00AD2746">
        <w:rPr>
          <w:color w:val="000000"/>
        </w:rPr>
        <w:t>Os componentes do sistema e os materiais do conjunto podem possuir classes de risco distintas, vigorando sempre a classe de maior risco.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t>Art. 15. A variação dimensional dos componentes do sistema e dos materiais dos conjuntos é considerada como forma de apresentação comercial, não caracterizando família de sistemas ou família de conjuntos.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t>Art. 16. Para fins de alterações de registro ou cadastro, é possível incluir, excluir ou substituir componentes no sistema e no conjunto, desde que isto não descaracterize o produto original.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t>Art. 17. A variação quantitativa dos componentes de um conjunto caracteriza forma de apresentação comercial, desde que não seja excluído nenhum componente deste conjunto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t>Art. 18. Para os materiais de uso em saúde implantáveis de uso permanente de alto e máximo risco, o fabricante ou importador deve disponibilizar etiquetas de rastreabilidade com a identificação de cada material ou componente de sistema implantável.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t>§1º Devem ser disponibilizadas no mínimo 3 (três) etiquetas para fixação obrigatória: no prontuário clínico, no documento a ser entregue ao paciente, e na documentação fiscal que gera a cobrança.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t>§2º O disposto neste artigo não se aplica aos fios de sutura.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jc w:val="center"/>
        <w:divId w:val="475341183"/>
        <w:rPr>
          <w:b/>
          <w:bCs/>
          <w:color w:val="000000"/>
        </w:rPr>
      </w:pPr>
      <w:r w:rsidRPr="00AD2746">
        <w:rPr>
          <w:b/>
          <w:bCs/>
          <w:color w:val="000000"/>
        </w:rPr>
        <w:t>CAPÍTULO III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jc w:val="center"/>
        <w:divId w:val="475341183"/>
        <w:rPr>
          <w:b/>
          <w:bCs/>
          <w:color w:val="000000"/>
        </w:rPr>
      </w:pPr>
      <w:r w:rsidRPr="00AD2746">
        <w:rPr>
          <w:b/>
          <w:bCs/>
          <w:color w:val="000000"/>
        </w:rPr>
        <w:t>DAS DISPOSIÇÕES FINAIS E TRANSITÓRIAS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t>Art. 19. As petições de registro e cadastro protocoladas na ANVISA estão sujeitas às disposições desta Resolução, a partir de sua entrada em vigor.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t>Art. 20. As solicitações de registro, cadastro ou revalidação protocoladas antes da data de entrada em vigor desta Resolução serão analisadas segundo a Resolução de Diretoria Colegiada – RDC nº 97, de 09 de novembro de 2000.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t>Art. 21. Os registros e cadastros concedidos em conformidade com a Resolução</w:t>
      </w:r>
      <w:r w:rsidRPr="00AD2746">
        <w:rPr>
          <w:b/>
          <w:bCs/>
          <w:color w:val="000000"/>
        </w:rPr>
        <w:t xml:space="preserve"> </w:t>
      </w:r>
      <w:r w:rsidRPr="00AD2746">
        <w:rPr>
          <w:color w:val="000000"/>
        </w:rPr>
        <w:t>da Diretoria Colegiada</w:t>
      </w:r>
      <w:r w:rsidRPr="00AD2746">
        <w:rPr>
          <w:b/>
          <w:bCs/>
          <w:color w:val="000000"/>
        </w:rPr>
        <w:t xml:space="preserve"> -</w:t>
      </w:r>
      <w:r w:rsidRPr="00AD2746">
        <w:rPr>
          <w:color w:val="000000"/>
        </w:rPr>
        <w:t xml:space="preserve"> RDC nº. 97, de 09 de novembro de 2000, devem se adequar a esta Resolução quando da solicitação de sua revalidação.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t>§1º Os cadastros e registros de produto único não podem ser alterados para cadastro ou registro de família, conjunto ou sistema. 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lastRenderedPageBreak/>
        <w:t>§2º Os produtos com características de sistema ou conjunto que foram registrados antes da vigência desta RDC, serão enquadrados como sistema ou conjunto no ato de sua revalidação.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t>Art. 22. O descumprimento das disposições contidas nesta resolução e no regulamento por ela aprovado constitui infração sanitária, nos termos da Lei n° 6.437, de 20 de agosto de 1977, sem prejuízo das responsabilidades civil, administrativa e penal cabíveis.</w:t>
      </w:r>
    </w:p>
    <w:p w:rsidR="00613018" w:rsidRPr="00AD2746" w:rsidRDefault="00613018" w:rsidP="00AD274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475341183"/>
        <w:rPr>
          <w:color w:val="000000"/>
        </w:rPr>
      </w:pPr>
      <w:r w:rsidRPr="00AD2746">
        <w:rPr>
          <w:color w:val="000000"/>
        </w:rPr>
        <w:t>Art. 23. Esta Resolução entra em vigor 180 (cento e oitenta) dias após a data de sua publicação.</w:t>
      </w:r>
    </w:p>
    <w:p w:rsidR="00613018" w:rsidRPr="00AD2746" w:rsidRDefault="00613018" w:rsidP="00AD2746">
      <w:pPr>
        <w:pStyle w:val="Ttulo2"/>
        <w:spacing w:before="0" w:beforeAutospacing="0" w:after="200" w:afterAutospacing="0"/>
        <w:divId w:val="475341183"/>
        <w:rPr>
          <w:rFonts w:ascii="Times New Roman" w:hAnsi="Times New Roman" w:cs="Times New Roman"/>
          <w:sz w:val="24"/>
          <w:szCs w:val="24"/>
        </w:rPr>
      </w:pPr>
      <w:r w:rsidRPr="00AD2746">
        <w:rPr>
          <w:rFonts w:ascii="Times New Roman" w:hAnsi="Times New Roman" w:cs="Times New Roman"/>
          <w:sz w:val="24"/>
          <w:szCs w:val="24"/>
        </w:rPr>
        <w:t>DIRCEU BRÁS APARECIDO BARBANO</w:t>
      </w:r>
    </w:p>
    <w:sectPr w:rsidR="00613018" w:rsidRPr="00AD2746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6CA7" w:rsidRDefault="003B6CA7" w:rsidP="00AD2746">
      <w:pPr>
        <w:spacing w:before="0" w:after="0"/>
      </w:pPr>
      <w:r>
        <w:separator/>
      </w:r>
    </w:p>
  </w:endnote>
  <w:endnote w:type="continuationSeparator" w:id="0">
    <w:p w:rsidR="003B6CA7" w:rsidRDefault="003B6CA7" w:rsidP="00AD274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2746" w:rsidRDefault="00AD2746" w:rsidP="00AD2746">
    <w:pPr>
      <w:pStyle w:val="Rodap"/>
      <w:jc w:val="center"/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6CA7" w:rsidRDefault="003B6CA7" w:rsidP="00AD2746">
      <w:pPr>
        <w:spacing w:before="0" w:after="0"/>
      </w:pPr>
      <w:r>
        <w:separator/>
      </w:r>
    </w:p>
  </w:footnote>
  <w:footnote w:type="continuationSeparator" w:id="0">
    <w:p w:rsidR="003B6CA7" w:rsidRDefault="003B6CA7" w:rsidP="00AD274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2746" w:rsidRPr="0018049F" w:rsidRDefault="003B6CA7" w:rsidP="00AD2746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3B6CA7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D2746" w:rsidRPr="0018049F" w:rsidRDefault="00AD2746" w:rsidP="00AD2746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AD2746" w:rsidRDefault="00AD2746" w:rsidP="00AD2746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AD2746" w:rsidRDefault="00AD2746" w:rsidP="00AD2746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1231D3"/>
    <w:rsid w:val="0018049F"/>
    <w:rsid w:val="001C017E"/>
    <w:rsid w:val="002A6BAF"/>
    <w:rsid w:val="003B6CA7"/>
    <w:rsid w:val="00524060"/>
    <w:rsid w:val="005D13BD"/>
    <w:rsid w:val="00613018"/>
    <w:rsid w:val="00614BE8"/>
    <w:rsid w:val="00652E8A"/>
    <w:rsid w:val="00771958"/>
    <w:rsid w:val="008B7BC0"/>
    <w:rsid w:val="008D770F"/>
    <w:rsid w:val="009D4C4B"/>
    <w:rsid w:val="009F4005"/>
    <w:rsid w:val="00A53197"/>
    <w:rsid w:val="00AD2746"/>
    <w:rsid w:val="00AF43E7"/>
    <w:rsid w:val="00B463FE"/>
    <w:rsid w:val="00C95A0B"/>
    <w:rsid w:val="00CE5312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AD2746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AD2746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AD2746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AD2746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D2746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341185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1183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186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1690</Words>
  <Characters>9126</Characters>
  <Application>Microsoft Office Word</Application>
  <DocSecurity>0</DocSecurity>
  <Lines>76</Lines>
  <Paragraphs>21</Paragraphs>
  <ScaleCrop>false</ScaleCrop>
  <Company>ANVISA</Company>
  <LinksUpToDate>false</LinksUpToDate>
  <CharactersWithSpaces>10795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2018-01-30T12:45:00Z</cp:lastPrinted>
  <dcterms:created xsi:type="dcterms:W3CDTF">2018-08-16T18:35:00Z</dcterms:created>
  <dcterms:modified xsi:type="dcterms:W3CDTF">2018-08-16T18:35:00Z</dcterms:modified>
</cp:coreProperties>
</file>