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36" w:rsidRPr="0040784B" w:rsidRDefault="000F3836" w:rsidP="000F3836">
      <w:pPr>
        <w:pStyle w:val="Ttulo1"/>
        <w:spacing w:before="0" w:beforeAutospacing="0" w:after="200" w:afterAutospacing="0"/>
        <w:ind w:left="-567" w:right="-568"/>
        <w:rPr>
          <w:rFonts w:ascii="Times New Roman" w:hAnsi="Times New Roman" w:cs="Times New Roman"/>
        </w:rPr>
      </w:pPr>
      <w:r w:rsidRPr="0040784B">
        <w:rPr>
          <w:rFonts w:ascii="Times New Roman" w:hAnsi="Times New Roman" w:cs="Times New Roman"/>
        </w:rPr>
        <w:t>RESOLUÇÃO</w:t>
      </w:r>
      <w:bookmarkStart w:id="0" w:name="_GoBack"/>
      <w:bookmarkEnd w:id="0"/>
      <w:r w:rsidRPr="0040784B">
        <w:rPr>
          <w:rFonts w:ascii="Times New Roman" w:hAnsi="Times New Roman" w:cs="Times New Roman"/>
        </w:rPr>
        <w:t xml:space="preserve"> DA DIRETORIA COLEGIADA – RDC Nº 14, DE 28 DE MARÇO DE 2014</w:t>
      </w:r>
    </w:p>
    <w:p w:rsidR="000F3836" w:rsidRPr="0040784B" w:rsidRDefault="000F3836" w:rsidP="000F3836">
      <w:pPr>
        <w:pStyle w:val="Ttulo1"/>
        <w:spacing w:before="0" w:beforeAutospacing="0" w:after="200" w:afterAutospacing="0"/>
        <w:rPr>
          <w:rFonts w:ascii="Times New Roman" w:hAnsi="Times New Roman" w:cs="Times New Roman"/>
          <w:color w:val="0000FF"/>
          <w:sz w:val="24"/>
          <w:szCs w:val="24"/>
        </w:rPr>
      </w:pPr>
      <w:r w:rsidRPr="0040784B">
        <w:rPr>
          <w:rFonts w:ascii="Times New Roman" w:hAnsi="Times New Roman" w:cs="Times New Roman"/>
          <w:caps w:val="0"/>
          <w:color w:val="0000FF"/>
          <w:sz w:val="24"/>
          <w:szCs w:val="24"/>
        </w:rPr>
        <w:t>(Publicada no DOU nº 61, de 31 de março de 2014)</w:t>
      </w:r>
    </w:p>
    <w:p w:rsidR="000F3836" w:rsidRPr="0040784B" w:rsidRDefault="000F3836" w:rsidP="000F3836">
      <w:pPr>
        <w:widowControl w:val="0"/>
        <w:autoSpaceDE w:val="0"/>
        <w:autoSpaceDN w:val="0"/>
        <w:adjustRightInd w:val="0"/>
        <w:spacing w:before="0" w:beforeAutospacing="0" w:after="200" w:afterAutospacing="0"/>
        <w:ind w:left="4820"/>
        <w:jc w:val="both"/>
        <w:rPr>
          <w:color w:val="000000"/>
        </w:rPr>
      </w:pPr>
      <w:r w:rsidRPr="0040784B">
        <w:rPr>
          <w:color w:val="000000"/>
        </w:rPr>
        <w:t xml:space="preserve">Dispõe sobre </w:t>
      </w:r>
      <w:r w:rsidRPr="0040784B">
        <w:t>matérias estranhas macroscópicas e microscópicas em alimentos e bebidas, seus limites de tolerância</w:t>
      </w:r>
      <w:r w:rsidRPr="0040784B">
        <w:rPr>
          <w:color w:val="000000"/>
        </w:rPr>
        <w:t xml:space="preserve"> e dá outras providências.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rPr>
          <w:b/>
        </w:rPr>
        <w:t>A</w:t>
      </w:r>
      <w:r w:rsidRPr="0040784B">
        <w:t xml:space="preserve"> </w:t>
      </w:r>
      <w:r w:rsidRPr="0040784B">
        <w:rPr>
          <w:b/>
          <w:bCs/>
        </w:rPr>
        <w:t>Diretoria Colegiada da Agência Nacional de Vigilância Sanitária</w:t>
      </w:r>
      <w:r w:rsidRPr="0040784B">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25 de março de 2014, adota a seguinte Resolução da Diretoria Colegiada e eu, Diretor-Presidente , determino a sua publicação: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 Fica aprovado o Regulamento Técnico que estabelece os requisitos mínimos para avaliação de matérias estranhas macroscópicas e microscópicas em alimentos e bebidas e seus limites de tolerância.</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CAPÍTULO 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DAS DISPOSIÇÕES INICIAIS</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Seção 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Objetivo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2° Este regulamento possui o objetivo de estabelecer as disposições gerais para avaliar a presença de matérias estranhas macroscópicas e microscópicas, indicativas de riscos à saúde humana e/ou as indicativas de falhas na aplicação das boas práticas na cadeia produtiva de alimentos e bebidas, e fixar seus limites de tolerância.</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Seção II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Abrangência</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3° Este regulamento se aplica</w:t>
      </w:r>
      <w:r w:rsidRPr="0040784B">
        <w:rPr>
          <w:color w:val="002060"/>
        </w:rPr>
        <w:t xml:space="preserve"> </w:t>
      </w:r>
      <w:r w:rsidRPr="0040784B">
        <w:t xml:space="preserve">aos alimentos, inclusive águas envasadas, bebidas, matérias-primas, ingredientes, aditivos alimentares e os coadjuvantes de tecnologia de fabricação, embalados ou a granel, destinados ao consumo humano.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r w:rsidRPr="0040784B">
        <w:t xml:space="preserve">Parágrafo único. Excluem-se deste regulamento </w:t>
      </w:r>
      <w:r w:rsidRPr="0040784B">
        <w:rPr>
          <w:color w:val="000000"/>
        </w:rPr>
        <w:t xml:space="preserve">os aspectos de fraude, impurezas e defeitos que já estejam previstos nos regulamentos técnicos específicos </w:t>
      </w:r>
      <w:r w:rsidRPr="0040784B">
        <w:t>ou ainda aqueles alimentos e bebidas adicionados de ingredientes previstos nos padrões de identidade e qualidade, exceto</w:t>
      </w:r>
      <w:r w:rsidRPr="0040784B">
        <w:rPr>
          <w:color w:val="000000"/>
        </w:rPr>
        <w:t xml:space="preserve"> aqueles que podem representar risco à saúde. </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lastRenderedPageBreak/>
        <w:t>Seção III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Definições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4° Para efeito deste Regulamento Técnico são adotadas as seguintes definições: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 - </w:t>
      </w:r>
      <w:proofErr w:type="gramStart"/>
      <w:r w:rsidRPr="0040784B">
        <w:t>alimento</w:t>
      </w:r>
      <w:proofErr w:type="gramEnd"/>
      <w:r w:rsidRPr="0040784B">
        <w:t xml:space="preserve"> embalado: é todo alimento contido em uma embalagem pronta para ser oferecida ao consumidor;</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II - </w:t>
      </w:r>
      <w:proofErr w:type="gramStart"/>
      <w:r w:rsidRPr="0040784B">
        <w:t>alimento</w:t>
      </w:r>
      <w:proofErr w:type="gramEnd"/>
      <w:r w:rsidRPr="0040784B">
        <w:t xml:space="preserve"> a granel: alimento medido e embalado na presença do consumidor;</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III - alimento deteriorado: aquele que apresenta alterações indesejáveis das características sensoriais e/ou físicas e/ou químicas, em decorrência da ação de microrganismos e/ou por reações químicas e/ou alterações físicas</w:t>
      </w:r>
      <w:r w:rsidRPr="0040784B">
        <w:rPr>
          <w:color w:val="000000"/>
        </w:rPr>
        <w:t>;</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IV - </w:t>
      </w:r>
      <w:proofErr w:type="gramStart"/>
      <w:r w:rsidRPr="0040784B">
        <w:t>alimento</w:t>
      </w:r>
      <w:proofErr w:type="gramEnd"/>
      <w:r w:rsidRPr="0040784B">
        <w:t xml:space="preserve"> infestado por artrópodes: aquele onde há presença de qualquer estágio do ciclo de vida do animal (vivo ou morto), ou evidência de sua presença (tais como excrementos, teias, </w:t>
      </w:r>
      <w:proofErr w:type="spellStart"/>
      <w:r w:rsidRPr="0040784B">
        <w:t>exúvias</w:t>
      </w:r>
      <w:proofErr w:type="spellEnd"/>
      <w:r w:rsidRPr="0040784B">
        <w:t>, resíduos de produtos atacados) ou ainda, o estabelecimento de uma população reprodutivamente ativa. Os artrópodes considerados neste caso devem ser aqueles que utilizam o alimento e são capazes de causar dano extensivo ao mesmo;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 - </w:t>
      </w:r>
      <w:proofErr w:type="gramStart"/>
      <w:r w:rsidRPr="0040784B">
        <w:t>boas</w:t>
      </w:r>
      <w:proofErr w:type="gramEnd"/>
      <w:r w:rsidRPr="0040784B">
        <w:t xml:space="preserve"> práticas: procedimentos que devem ser adotados a fim de garantir a qualidade higiênico-sanitária e a conformidade dos produtos alimentícios com os regulamentos técnicos;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VI - </w:t>
      </w:r>
      <w:proofErr w:type="gramStart"/>
      <w:r w:rsidRPr="0040784B">
        <w:t>matéria</w:t>
      </w:r>
      <w:proofErr w:type="gramEnd"/>
      <w:r w:rsidRPr="0040784B">
        <w:t xml:space="preserve"> estranha: qualquer material não constituinte do produto associado a condições ou práticas inadequadas na produção, manipulação, armazenamento ou distribuição;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VII - matérias estranhas macroscópicas: são aquelas detectadas por observação direta (olho nu), podendo ser confirmada com auxílio de instrumentos ópticos;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VIII - matérias estranhas microscópicas: são aquelas detectadas com auxílio de instrumentos ópticos, com aumento mínimo de 30 vezes;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IX - </w:t>
      </w:r>
      <w:proofErr w:type="gramStart"/>
      <w:r w:rsidRPr="0040784B">
        <w:t>matérias</w:t>
      </w:r>
      <w:proofErr w:type="gramEnd"/>
      <w:r w:rsidRPr="0040784B">
        <w:t xml:space="preserve"> estranhas inevitáveis: são aquelas que ocorrem no alimento mesmo com a aplicação das Boas Práticas;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X - </w:t>
      </w:r>
      <w:proofErr w:type="gramStart"/>
      <w:r w:rsidRPr="0040784B">
        <w:t>matérias</w:t>
      </w:r>
      <w:proofErr w:type="gramEnd"/>
      <w:r w:rsidRPr="0040784B">
        <w:t xml:space="preserve"> estranhas indicativas de riscos à saúde humana: são aquelas detectadas macroscopicamente e/ou microscopicamente, capazes de veicular agentes patogênicos para os alimentos e/ou de causar danos ao consumidor, abrangendo: </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a)insetos</w:t>
      </w:r>
      <w:proofErr w:type="gramEnd"/>
      <w:r w:rsidRPr="0040784B">
        <w:t>: baratas, formigas, moscas que se reproduzem ou que tem por hábito manter contato com fezes, cadáveres e lixo, bem como barbeiros, em qualquer fase de desenvolvimento, vivos ou mortos, inteiros ou em partes;</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b)roedores</w:t>
      </w:r>
      <w:proofErr w:type="gramEnd"/>
      <w:r w:rsidRPr="0040784B">
        <w:t>: rato, ratazana e camundongo, inteiros ou em partes;</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c)outros</w:t>
      </w:r>
      <w:proofErr w:type="gramEnd"/>
      <w:r w:rsidRPr="0040784B">
        <w:t xml:space="preserve"> animais: morcego e pombo, inteiros ou em partes;</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lastRenderedPageBreak/>
        <w:t>d)excrementos</w:t>
      </w:r>
      <w:proofErr w:type="gramEnd"/>
      <w:r w:rsidRPr="0040784B">
        <w:t xml:space="preserve"> de animais, exceto os de artrópodes considerados próprios da cultura e do armazenamento;</w:t>
      </w:r>
    </w:p>
    <w:p w:rsidR="000F3836" w:rsidRPr="0040784B" w:rsidRDefault="000F3836" w:rsidP="000F3836">
      <w:pPr>
        <w:widowControl w:val="0"/>
        <w:autoSpaceDE w:val="0"/>
        <w:autoSpaceDN w:val="0"/>
        <w:adjustRightInd w:val="0"/>
        <w:spacing w:before="0" w:beforeAutospacing="0" w:after="200" w:afterAutospacing="0"/>
        <w:ind w:firstLine="567"/>
        <w:jc w:val="both"/>
        <w:rPr>
          <w:u w:val="single"/>
        </w:rPr>
      </w:pPr>
      <w:proofErr w:type="gramStart"/>
      <w:r w:rsidRPr="0040784B">
        <w:t>e)parasitos</w:t>
      </w:r>
      <w:proofErr w:type="gramEnd"/>
      <w:r w:rsidRPr="0040784B">
        <w:t>: helmintos e protozoários, em qualquer fase de desenvolvimento, associados a agravos a saúde humana;</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f)objetos</w:t>
      </w:r>
      <w:proofErr w:type="gramEnd"/>
      <w:r w:rsidRPr="0040784B">
        <w:t xml:space="preserve"> rígidos, pontiagudos e ou cortantes, iguais ou maiores que 7 mm (medido na maior dimensão), que podem causar lesões ao consumidor, tais como: fragmentos de osso e metal; lasca de madeira; e plástico rígido;</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g)objetos</w:t>
      </w:r>
      <w:proofErr w:type="gramEnd"/>
      <w:r w:rsidRPr="0040784B">
        <w:t xml:space="preserve"> rígidos, com diâmetros iguais ou maiores que 2 mm (medido na maior dimensão), que podem causar lesões ao consumidor, tais como: pedra, metal, dentes, caroço inteiro ou fragmentado</w:t>
      </w:r>
      <w:r w:rsidRPr="0040784B">
        <w:rPr>
          <w:b/>
          <w:bCs/>
        </w:rPr>
        <w:t>;</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h)fragmentos</w:t>
      </w:r>
      <w:proofErr w:type="gramEnd"/>
      <w:r w:rsidRPr="0040784B">
        <w:t xml:space="preserve"> de vidro de qualquer tamanho ou formato; e</w:t>
      </w:r>
    </w:p>
    <w:p w:rsidR="000F3836" w:rsidRPr="0040784B" w:rsidRDefault="000F3836" w:rsidP="000F3836">
      <w:pPr>
        <w:widowControl w:val="0"/>
        <w:autoSpaceDE w:val="0"/>
        <w:autoSpaceDN w:val="0"/>
        <w:adjustRightInd w:val="0"/>
        <w:spacing w:before="0" w:beforeAutospacing="0" w:after="200" w:afterAutospacing="0"/>
        <w:ind w:firstLine="567"/>
        <w:jc w:val="both"/>
      </w:pPr>
      <w:proofErr w:type="gramStart"/>
      <w:r w:rsidRPr="0040784B">
        <w:t>i)filmes</w:t>
      </w:r>
      <w:proofErr w:type="gramEnd"/>
      <w:r w:rsidRPr="0040784B">
        <w:t xml:space="preserve"> plásticos que possam causar danos à saúde do consumidor. </w:t>
      </w:r>
    </w:p>
    <w:p w:rsidR="000F3836" w:rsidRPr="0040784B" w:rsidRDefault="000F3836" w:rsidP="000F3836">
      <w:pPr>
        <w:widowControl w:val="0"/>
        <w:autoSpaceDE w:val="0"/>
        <w:autoSpaceDN w:val="0"/>
        <w:adjustRightInd w:val="0"/>
        <w:spacing w:before="0" w:beforeAutospacing="0" w:after="200" w:afterAutospacing="0"/>
        <w:ind w:firstLine="567"/>
        <w:jc w:val="both"/>
        <w:rPr>
          <w:strike/>
        </w:rPr>
      </w:pPr>
      <w:r w:rsidRPr="0040784B">
        <w:t xml:space="preserve">XI - matérias estranhas indicativas de falhas das Boas Práticas: são aquelas detectadas macroscopicamente e/ou microscopicamente, abrangendo: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a)</w:t>
      </w:r>
      <w:r w:rsidRPr="0040784B">
        <w:rPr>
          <w:color w:val="000000"/>
        </w:rPr>
        <w:t>artrópodes</w:t>
      </w:r>
      <w:proofErr w:type="gramEnd"/>
      <w:r w:rsidRPr="0040784B">
        <w:rPr>
          <w:color w:val="000000"/>
        </w:rPr>
        <w:t xml:space="preserve"> considerados próprios da cultura e do armazenamento, em qualquer fase de desenvolvimento, vivos ou mortos, inteiros ou em partes, </w:t>
      </w:r>
      <w:proofErr w:type="spellStart"/>
      <w:r w:rsidRPr="0040784B">
        <w:rPr>
          <w:color w:val="000000"/>
        </w:rPr>
        <w:t>exúvias</w:t>
      </w:r>
      <w:proofErr w:type="spellEnd"/>
      <w:r w:rsidRPr="0040784B">
        <w:rPr>
          <w:color w:val="000000"/>
        </w:rPr>
        <w:t xml:space="preserve">, teias e excrementos, exceto os previstos como indicativos de risco no inciso X deste artigo;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b)partes</w:t>
      </w:r>
      <w:proofErr w:type="gramEnd"/>
      <w:r w:rsidRPr="0040784B">
        <w:t xml:space="preserve"> indesejáveis</w:t>
      </w:r>
      <w:r w:rsidRPr="0040784B">
        <w:rPr>
          <w:color w:val="000000"/>
        </w:rPr>
        <w:t xml:space="preserve"> da matéria-prima não contemplada nos regulamentos técnicos específicos, exceto os previstos como indicativos de risco no inciso X deste artigo;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c)</w:t>
      </w:r>
      <w:r w:rsidRPr="0040784B">
        <w:rPr>
          <w:color w:val="000000"/>
        </w:rPr>
        <w:t>pelos</w:t>
      </w:r>
      <w:proofErr w:type="gramEnd"/>
      <w:r w:rsidRPr="0040784B">
        <w:rPr>
          <w:color w:val="000000"/>
        </w:rPr>
        <w:t xml:space="preserve"> humanos e de outros animais, exceto os previstos como indicativos de risco no inciso X deste artigo;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d)</w:t>
      </w:r>
      <w:r w:rsidRPr="0040784B">
        <w:rPr>
          <w:color w:val="000000"/>
        </w:rPr>
        <w:t>areia</w:t>
      </w:r>
      <w:proofErr w:type="gramEnd"/>
      <w:r w:rsidRPr="0040784B">
        <w:rPr>
          <w:color w:val="000000"/>
        </w:rPr>
        <w:t xml:space="preserve">, terra e outras partículas macroscópicas exceto as previstas como indicativos de risco no inciso X deste artigo; </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e)</w:t>
      </w:r>
      <w:r w:rsidRPr="0040784B">
        <w:rPr>
          <w:color w:val="000000"/>
        </w:rPr>
        <w:t>fungos</w:t>
      </w:r>
      <w:proofErr w:type="gramEnd"/>
      <w:r w:rsidRPr="0040784B">
        <w:rPr>
          <w:color w:val="000000"/>
        </w:rPr>
        <w:t xml:space="preserve"> filamentosos e </w:t>
      </w:r>
      <w:proofErr w:type="spellStart"/>
      <w:r w:rsidRPr="0040784B">
        <w:rPr>
          <w:color w:val="000000"/>
        </w:rPr>
        <w:t>leveduriformes</w:t>
      </w:r>
      <w:proofErr w:type="spellEnd"/>
      <w:r w:rsidRPr="0040784B">
        <w:rPr>
          <w:color w:val="000000"/>
        </w:rPr>
        <w:t xml:space="preserve"> que não sejam característicos dos produtos; e</w:t>
      </w:r>
    </w:p>
    <w:p w:rsidR="000F3836" w:rsidRPr="0040784B" w:rsidRDefault="000F3836" w:rsidP="000F3836">
      <w:pPr>
        <w:widowControl w:val="0"/>
        <w:autoSpaceDE w:val="0"/>
        <w:autoSpaceDN w:val="0"/>
        <w:adjustRightInd w:val="0"/>
        <w:spacing w:before="0" w:beforeAutospacing="0" w:after="200" w:afterAutospacing="0"/>
        <w:ind w:firstLine="567"/>
        <w:jc w:val="both"/>
        <w:rPr>
          <w:color w:val="000000"/>
        </w:rPr>
      </w:pPr>
      <w:proofErr w:type="gramStart"/>
      <w:r w:rsidRPr="0040784B">
        <w:t>f)</w:t>
      </w:r>
      <w:r w:rsidRPr="0040784B">
        <w:rPr>
          <w:color w:val="000000"/>
        </w:rPr>
        <w:t>contaminações</w:t>
      </w:r>
      <w:proofErr w:type="gramEnd"/>
      <w:r w:rsidRPr="0040784B">
        <w:rPr>
          <w:color w:val="000000"/>
        </w:rPr>
        <w:t xml:space="preserve"> incidentais: animais vertebrados ou invertebrados não citados acima, e outros materiais não relacionados ao processo produtivo.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XII - partes indesejáveis ou impurezas: são partes de vegetais ou de animais que interferem na qualidade do produto, como cascas, pedúnculos, pecíolos, cartilagens, </w:t>
      </w:r>
      <w:proofErr w:type="spellStart"/>
      <w:r w:rsidRPr="0040784B">
        <w:t>aponevroses</w:t>
      </w:r>
      <w:proofErr w:type="spellEnd"/>
      <w:r w:rsidRPr="0040784B">
        <w:t xml:space="preserve">, ossos, penas e </w:t>
      </w:r>
      <w:proofErr w:type="spellStart"/>
      <w:r w:rsidRPr="0040784B">
        <w:t>pêlos</w:t>
      </w:r>
      <w:proofErr w:type="spellEnd"/>
      <w:r w:rsidRPr="0040784B">
        <w:t xml:space="preserve"> animais e partículas carbonizadas do alimento advindas do processamento ou não removidas pelo mesmo;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XIII - risco: função da probabilidade da ocorrência de um efeito adverso a saúde e da gravidade de tal efeito, como consequência de um perigo ou perigos nos alimentos.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XIV - vetores: são animais que veiculam patógenos provenientes de um hospedeiro, de uma origem ou de um lugar, carreando-os para os alimentos, podendo causar agravos </w:t>
      </w:r>
      <w:r w:rsidRPr="0040784B">
        <w:lastRenderedPageBreak/>
        <w:t xml:space="preserve">à saúde humana pela ingestão do alimento contaminado. </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Capítulo II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DAS DISPOSIÇÕES GERAIS</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Seção 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Princípios Gerais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5° Esta regulamentação visa promover a melhoria da qualidade e segurança dos alimentos, contribuindo para o aprimoramento das práticas adotadas pelo setor produtivo.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6° A obtenção de alimento seguro deve abranger toda a cadeia produtiva, ou seja, da produção até o consumo.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7° Os produtores, fabricantes, distribuidores e fornecedores de alimentos devem utilizar procedimentos para reduzirem as matérias estranhas ao nível mais baixo possível.</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8° As matérias-primas destinadas à produção de alimentos devem atender às condições higiênico-sanitárias de forma a garantir que o produto final não ofereça riscos à saúde humana.</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9° Qualquer estabelecimento que produza, industrialize, manipule, fracione, armazene ou transporte alimentos deve atender as condições higiênico-sanitárias e as Boas Práticas.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10. A adoção das Boas Práticas é responsabilidade do setor produtivo, cabendo garantir, entre outras a qualidade sanitária das matérias-primas, dos ingredientes, dos aditivos alimentares, dos coadjuvantes de tecnologia de fabricação e/ou de outros materiais, embalagens e equipamentos utilizados na fabricação de alimentos.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11. O cumprimento do presente regulamento técnico quanto aos limites de tolerância de matérias estranhas não dispensa a observância de outros requisitos relativos às Boas Práticas.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Parágrafo Único. As evidências obtidas durante as inspeções dos estabelecimentos que demonstrem o descumprimento das Boas Práticas podem indicar um alimento não conforme, mesmo que a quantidade de matérias estranhas atenda aos limites de tolerância estabelecidos neste regulamento técnico. </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Seção II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Dos Limites de Tolerância</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Art. 12. Para o estabelecimento dos limites de tolerância são observados os seguintes critérios: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lastRenderedPageBreak/>
        <w:t xml:space="preserve">I - </w:t>
      </w:r>
      <w:proofErr w:type="gramStart"/>
      <w:r w:rsidRPr="0040784B">
        <w:t>risco</w:t>
      </w:r>
      <w:proofErr w:type="gramEnd"/>
      <w:r w:rsidRPr="0040784B">
        <w:t xml:space="preserve"> à saúde, considerando a população exposta, o processamento, as condições de preparo e forma de consumo do produto;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II - </w:t>
      </w:r>
      <w:proofErr w:type="gramStart"/>
      <w:r w:rsidRPr="0040784B">
        <w:t>dados</w:t>
      </w:r>
      <w:proofErr w:type="gramEnd"/>
      <w:r w:rsidRPr="0040784B">
        <w:t xml:space="preserve"> nacionais disponíveis;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III - ocorrência de matérias estranhas mesmo com a adoção das melhores práticas disponíveis; e</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IV – </w:t>
      </w:r>
      <w:proofErr w:type="gramStart"/>
      <w:r w:rsidRPr="0040784B">
        <w:t>existência</w:t>
      </w:r>
      <w:proofErr w:type="gramEnd"/>
      <w:r w:rsidRPr="0040784B">
        <w:t xml:space="preserve"> de referência internacional.</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13. São toleradas as matérias estranhas inevitáveis, de acordo com os respectivos limites estabelecidos, somente nos alimentos descritos nos Anexos 1 e 2, e naqueles que se enquadram no artigo 14.</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 1º Para a pesquisa de matérias estranhas macroscópicas adotam-se as metodologias analíticas estabelecidas no </w:t>
      </w:r>
      <w:proofErr w:type="spellStart"/>
      <w:r w:rsidRPr="0040784B">
        <w:t>Macroanalytical</w:t>
      </w:r>
      <w:proofErr w:type="spellEnd"/>
      <w:r w:rsidRPr="0040784B">
        <w:t xml:space="preserve"> Procedures Manual – U.S. </w:t>
      </w:r>
      <w:proofErr w:type="spellStart"/>
      <w:r w:rsidRPr="0040784B">
        <w:t>Food</w:t>
      </w:r>
      <w:proofErr w:type="spellEnd"/>
      <w:r w:rsidRPr="0040784B">
        <w:t xml:space="preserve"> </w:t>
      </w:r>
      <w:proofErr w:type="spellStart"/>
      <w:r w:rsidRPr="0040784B">
        <w:t>and</w:t>
      </w:r>
      <w:proofErr w:type="spellEnd"/>
      <w:r w:rsidRPr="0040784B">
        <w:t xml:space="preserve"> </w:t>
      </w:r>
      <w:proofErr w:type="spellStart"/>
      <w:r w:rsidRPr="0040784B">
        <w:t>Drug</w:t>
      </w:r>
      <w:proofErr w:type="spellEnd"/>
      <w:r w:rsidRPr="0040784B">
        <w:t xml:space="preserve"> </w:t>
      </w:r>
      <w:proofErr w:type="spellStart"/>
      <w:r w:rsidRPr="0040784B">
        <w:t>Administration</w:t>
      </w:r>
      <w:proofErr w:type="spellEnd"/>
      <w:r w:rsidRPr="0040784B">
        <w:t xml:space="preserve"> (US FDA), ou equivalente.</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 2° Para a pesquisa de matérias estranhas microscópicas adotam-se as metodologias analíticas estabelecidas pela </w:t>
      </w:r>
      <w:proofErr w:type="spellStart"/>
      <w:r w:rsidRPr="0040784B">
        <w:t>Association</w:t>
      </w:r>
      <w:proofErr w:type="spellEnd"/>
      <w:r w:rsidRPr="0040784B">
        <w:t xml:space="preserve"> </w:t>
      </w:r>
      <w:proofErr w:type="spellStart"/>
      <w:r w:rsidRPr="0040784B">
        <w:t>of</w:t>
      </w:r>
      <w:proofErr w:type="spellEnd"/>
      <w:r w:rsidRPr="0040784B">
        <w:t xml:space="preserve"> </w:t>
      </w:r>
      <w:proofErr w:type="spellStart"/>
      <w:r w:rsidRPr="0040784B">
        <w:t>Official</w:t>
      </w:r>
      <w:proofErr w:type="spellEnd"/>
      <w:r w:rsidRPr="0040784B">
        <w:t xml:space="preserve"> </w:t>
      </w:r>
      <w:proofErr w:type="spellStart"/>
      <w:r w:rsidRPr="0040784B">
        <w:t>Analytical</w:t>
      </w:r>
      <w:proofErr w:type="spellEnd"/>
      <w:r w:rsidRPr="0040784B">
        <w:t xml:space="preserve"> </w:t>
      </w:r>
      <w:proofErr w:type="spellStart"/>
      <w:r w:rsidRPr="0040784B">
        <w:t>Chemists</w:t>
      </w:r>
      <w:proofErr w:type="spellEnd"/>
      <w:r w:rsidRPr="0040784B">
        <w:t xml:space="preserve"> (AOAC), ou equivalente.</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Art. 14. Para produtos alimentícios cujos limites não constam nos Anexos 1 e 2 e que sejam produzidos a partir de ingredientes com limites estabelecidos nestes Anexos, deve-se considerar a proporção dos ingredientes no produto e sua concentração ou diluição para o cálculo do limite tolerado no produto final.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 1º Nos casos em que o resultado final do cálculo resulte em fração menor que 1 (um) será tolerado o limite de 1 (uma) matéria estranha na porção analisada.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 2º O limite da matéria estranha para qualquer alimento não poderá ser superior aos limites estabelecidos para os ingredientes utilizados na composição dos alimentos.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 3º A empresa responsável pelo produto alimentício deverá fornecer prontamente à autoridade sanitária, informações relativas à proporção dos ingredientes no produto e dos fatores de concentração ou diluição, caso seja requisitado.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4º A não apresentação das informações requeridas no § 3º no prazo de 10 dias corridos, ou sua informação inadequada, ensejará conclusão pela autoridade sanitária com base nos dados disponíveis.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15. Os limites de tolerância deste regulamento técnico são estabelecidos para os alimentos, matérias-primas e ingredientes que não sofrerão tratamento que possa diminuir ou eliminar as matérias estranhas.</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Seção III</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Conclusão e interpretação dos resultados analíticos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Art. 16. Para a conclusão e interpretação dos laudos analíticos serão considerados </w:t>
      </w:r>
      <w:r w:rsidRPr="0040784B">
        <w:lastRenderedPageBreak/>
        <w:t xml:space="preserve">em desacordo com o presente regulamento: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 - </w:t>
      </w:r>
      <w:proofErr w:type="gramStart"/>
      <w:r w:rsidRPr="0040784B">
        <w:t>os</w:t>
      </w:r>
      <w:proofErr w:type="gramEnd"/>
      <w:r w:rsidRPr="0040784B">
        <w:t xml:space="preserve"> alimentos deteriorados;</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II - </w:t>
      </w:r>
      <w:proofErr w:type="gramStart"/>
      <w:r w:rsidRPr="0040784B">
        <w:t>os</w:t>
      </w:r>
      <w:proofErr w:type="gramEnd"/>
      <w:r w:rsidRPr="0040784B">
        <w:t xml:space="preserve"> alimentos infestados por artrópodes;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III - os alimentos que apresentarem matéria estranha indicativa de risco não previstos nos Anexos 1 e 2;</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IV - </w:t>
      </w:r>
      <w:proofErr w:type="gramStart"/>
      <w:r w:rsidRPr="0040784B">
        <w:t>os</w:t>
      </w:r>
      <w:proofErr w:type="gramEnd"/>
      <w:r w:rsidRPr="0040784B">
        <w:t xml:space="preserve"> alimentos que apresentarem matéria estranha indicativa de risco acima dos limites estabelecidos nos Anexos 1 e 2;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 - </w:t>
      </w:r>
      <w:proofErr w:type="gramStart"/>
      <w:r w:rsidRPr="0040784B">
        <w:t>os</w:t>
      </w:r>
      <w:proofErr w:type="gramEnd"/>
      <w:r w:rsidRPr="0040784B">
        <w:t xml:space="preserve"> alimentos enquadrados no artigo 14 que apresentarem matéria estranha indicativa de risco;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VI - </w:t>
      </w:r>
      <w:proofErr w:type="gramStart"/>
      <w:r w:rsidRPr="0040784B">
        <w:t>os</w:t>
      </w:r>
      <w:proofErr w:type="gramEnd"/>
      <w:r w:rsidRPr="0040784B">
        <w:t xml:space="preserve"> alimentos que apresentarem matéria estranha indicativa de falhas das Boas Práticas não previstos nos Anexos 1 e 2;</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VII - os alimentos que apresentarem matéria estranha indicativa de falhas das Boas Práticas acima dos limites estabelecidos nos Anexos 1 e 2;</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 xml:space="preserve">VIII - os alimentos enquadrados no artigo 14 que apresentarem matéria estranha indicativa de falhas das Boas Práticas. </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17. Partes indesejáveis ou impurezas não previstas nos Anexos 1 e 2, deverão ser descritas no laudo analítico, podendo indicar a necessidade de revisão do processo de produção.</w:t>
      </w:r>
    </w:p>
    <w:p w:rsidR="000F3836" w:rsidRPr="0040784B" w:rsidRDefault="000F3836" w:rsidP="000F3836">
      <w:pPr>
        <w:widowControl w:val="0"/>
        <w:autoSpaceDE w:val="0"/>
        <w:autoSpaceDN w:val="0"/>
        <w:adjustRightInd w:val="0"/>
        <w:spacing w:before="0" w:beforeAutospacing="0" w:after="200" w:afterAutospacing="0"/>
        <w:ind w:firstLine="567"/>
        <w:jc w:val="both"/>
      </w:pPr>
      <w:r w:rsidRPr="0040784B">
        <w:t>Art. 18. A conclusão do laudo de produtos que serão submetidos a tratamentos que possam diminuir ou eliminar as matérias estranhas, cujos limites estejam acima dos estabelecidos nesta resolução, deve indicar a necessidade do processamento, quando for o caso, visando adequá-lo para o consumo humano.</w:t>
      </w:r>
    </w:p>
    <w:p w:rsidR="000F3836" w:rsidRPr="0040784B" w:rsidRDefault="000F3836" w:rsidP="000F3836">
      <w:pPr>
        <w:widowControl w:val="0"/>
        <w:autoSpaceDE w:val="0"/>
        <w:autoSpaceDN w:val="0"/>
        <w:adjustRightInd w:val="0"/>
        <w:spacing w:before="0" w:beforeAutospacing="0" w:after="200" w:afterAutospacing="0"/>
        <w:ind w:right="-1"/>
        <w:jc w:val="center"/>
        <w:rPr>
          <w:b/>
          <w:bCs/>
        </w:rPr>
      </w:pPr>
      <w:r w:rsidRPr="0040784B">
        <w:rPr>
          <w:b/>
          <w:bCs/>
        </w:rPr>
        <w:t>CAPÍTULO III</w:t>
      </w:r>
    </w:p>
    <w:p w:rsidR="000F3836" w:rsidRPr="0040784B" w:rsidRDefault="000F3836" w:rsidP="000F3836">
      <w:pPr>
        <w:widowControl w:val="0"/>
        <w:autoSpaceDE w:val="0"/>
        <w:autoSpaceDN w:val="0"/>
        <w:adjustRightInd w:val="0"/>
        <w:spacing w:before="0" w:beforeAutospacing="0" w:after="200" w:afterAutospacing="0"/>
        <w:ind w:right="-1"/>
        <w:jc w:val="center"/>
        <w:rPr>
          <w:b/>
          <w:bCs/>
        </w:rPr>
      </w:pPr>
      <w:r w:rsidRPr="0040784B">
        <w:rPr>
          <w:b/>
          <w:bCs/>
        </w:rPr>
        <w:t>DAS DISPOSIÇÕES FINAIS E TRANSITÓRIAS</w:t>
      </w:r>
    </w:p>
    <w:p w:rsidR="000F3836" w:rsidRPr="0040784B" w:rsidRDefault="000F3836" w:rsidP="000F3836">
      <w:pPr>
        <w:widowControl w:val="0"/>
        <w:autoSpaceDE w:val="0"/>
        <w:autoSpaceDN w:val="0"/>
        <w:adjustRightInd w:val="0"/>
        <w:spacing w:before="0" w:beforeAutospacing="0" w:after="200" w:afterAutospacing="0"/>
        <w:ind w:firstLine="567"/>
      </w:pPr>
      <w:r w:rsidRPr="0040784B">
        <w:t>Art. 19. Fica revogada a Resolução da Diretoria Colegiada - RDC nº 175, de 08 de julho de 2003, publicada no Diário Oficial da União nº 130, de 9 de julho de 2003, Seção 1, pág. 32.</w:t>
      </w:r>
    </w:p>
    <w:p w:rsidR="000F3836" w:rsidRPr="0040784B" w:rsidRDefault="000F3836" w:rsidP="000F3836">
      <w:pPr>
        <w:widowControl w:val="0"/>
        <w:autoSpaceDE w:val="0"/>
        <w:autoSpaceDN w:val="0"/>
        <w:adjustRightInd w:val="0"/>
        <w:spacing w:before="0" w:beforeAutospacing="0" w:after="200" w:afterAutospacing="0"/>
        <w:ind w:firstLine="567"/>
      </w:pPr>
      <w:r w:rsidRPr="0040784B">
        <w:t>Art. 20. Esta Resolução da Diretoria Colegiada entra em vigor na data de sua publicação.</w:t>
      </w:r>
    </w:p>
    <w:p w:rsidR="000F3836" w:rsidRPr="0040784B" w:rsidRDefault="000F3836" w:rsidP="000F3836">
      <w:pPr>
        <w:pStyle w:val="Ttulo2"/>
        <w:spacing w:before="0" w:beforeAutospacing="0" w:after="200" w:afterAutospacing="0"/>
        <w:rPr>
          <w:rFonts w:ascii="Times New Roman" w:hAnsi="Times New Roman" w:cs="Times New Roman"/>
          <w:b w:val="0"/>
          <w:sz w:val="24"/>
          <w:szCs w:val="24"/>
        </w:rPr>
      </w:pPr>
      <w:r w:rsidRPr="0040784B">
        <w:rPr>
          <w:rFonts w:ascii="Times New Roman" w:hAnsi="Times New Roman" w:cs="Times New Roman"/>
          <w:b w:val="0"/>
          <w:sz w:val="24"/>
          <w:szCs w:val="24"/>
        </w:rPr>
        <w:t>DIRCEU BRAS APARECIDO BARBANO</w:t>
      </w:r>
    </w:p>
    <w:p w:rsidR="000F3836" w:rsidRDefault="000F3836" w:rsidP="000F3836">
      <w:pPr>
        <w:widowControl w:val="0"/>
        <w:autoSpaceDE w:val="0"/>
        <w:autoSpaceDN w:val="0"/>
        <w:adjustRightInd w:val="0"/>
        <w:spacing w:before="0" w:beforeAutospacing="0" w:after="200" w:afterAutospacing="0"/>
        <w:jc w:val="center"/>
        <w:rPr>
          <w:color w:val="000000"/>
        </w:rPr>
      </w:pPr>
    </w:p>
    <w:p w:rsidR="000F3836" w:rsidRPr="0040784B" w:rsidRDefault="000F3836" w:rsidP="000F3836">
      <w:pPr>
        <w:widowControl w:val="0"/>
        <w:autoSpaceDE w:val="0"/>
        <w:autoSpaceDN w:val="0"/>
        <w:adjustRightInd w:val="0"/>
        <w:spacing w:before="0" w:beforeAutospacing="0" w:after="200" w:afterAutospacing="0"/>
        <w:jc w:val="center"/>
        <w:rPr>
          <w:b/>
          <w:color w:val="000000"/>
        </w:rPr>
      </w:pPr>
      <w:r w:rsidRPr="0040784B">
        <w:rPr>
          <w:b/>
          <w:color w:val="000000"/>
        </w:rPr>
        <w:t>ANEXO 1</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 xml:space="preserve">LIMITES DE TOLERÂNCIA PARA MATÉRIAS ESTRANHAS, EXCETO </w:t>
      </w:r>
      <w:r w:rsidRPr="0040784B">
        <w:rPr>
          <w:b/>
          <w:bCs/>
        </w:rPr>
        <w:lastRenderedPageBreak/>
        <w:t>ÁCAROS, POR GRUPOS DE ALIMENTOS</w:t>
      </w:r>
    </w:p>
    <w:tbl>
      <w:tblPr>
        <w:tblW w:w="1134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25"/>
        <w:gridCol w:w="2268"/>
        <w:gridCol w:w="2390"/>
        <w:gridCol w:w="1985"/>
        <w:gridCol w:w="2772"/>
      </w:tblGrid>
      <w:tr w:rsidR="000F3836" w:rsidRPr="0040784B" w:rsidTr="00CF2C03">
        <w:tblPrEx>
          <w:tblCellMar>
            <w:top w:w="0" w:type="dxa"/>
            <w:bottom w:w="0" w:type="dxa"/>
          </w:tblCellMar>
        </w:tblPrEx>
        <w:trPr>
          <w:jc w:val="center"/>
        </w:trPr>
        <w:tc>
          <w:tcPr>
            <w:tcW w:w="1925"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Grupos de Alimentos</w:t>
            </w: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Alimento</w:t>
            </w: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Matérias Estranhas</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Limites de Tolerância (máximos)</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Metodologia Analítica AOAC</w:t>
            </w:r>
          </w:p>
        </w:tc>
      </w:tr>
      <w:tr w:rsidR="000F3836" w:rsidRPr="0040784B" w:rsidTr="00CF2C03">
        <w:tblPrEx>
          <w:tblCellMar>
            <w:top w:w="0" w:type="dxa"/>
            <w:bottom w:w="0" w:type="dxa"/>
          </w:tblCellMar>
        </w:tblPrEx>
        <w:trPr>
          <w:trHeight w:val="710"/>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 Frutas, produtos de frutas e similares</w:t>
            </w:r>
          </w:p>
        </w:tc>
        <w:tc>
          <w:tcPr>
            <w:tcW w:w="2268" w:type="dxa"/>
            <w:vMerge w:val="restart"/>
            <w:tcBorders>
              <w:top w:val="single" w:sz="4" w:space="0" w:color="000000"/>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Produtos de tomate (molhos, purê, polpa, extrato, tomate seco, tomate inteiro enlatado, </w:t>
            </w:r>
            <w:proofErr w:type="spellStart"/>
            <w:r w:rsidRPr="0040784B">
              <w:rPr>
                <w:i/>
                <w:iCs/>
              </w:rPr>
              <w:t>catchup</w:t>
            </w:r>
            <w:proofErr w:type="spellEnd"/>
            <w:r w:rsidRPr="0040784B">
              <w:rPr>
                <w:i/>
                <w:iCs/>
              </w:rPr>
              <w:t xml:space="preserve"> </w:t>
            </w:r>
            <w:r w:rsidRPr="0040784B">
              <w:t>e outros derivados)</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10 em 100g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955.46 B (16.13.14)</w:t>
            </w:r>
          </w:p>
        </w:tc>
      </w:tr>
      <w:tr w:rsidR="000F3836" w:rsidRPr="0040784B" w:rsidTr="00CF2C03">
        <w:tblPrEx>
          <w:tblCellMar>
            <w:top w:w="0" w:type="dxa"/>
            <w:bottom w:w="0" w:type="dxa"/>
          </w:tblCellMar>
        </w:tblPrEx>
        <w:trPr>
          <w:trHeight w:val="731"/>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vMerge w:val="restart"/>
            <w:tcBorders>
              <w:top w:val="single" w:sz="4" w:space="0" w:color="000000"/>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Fungos – Contagem de filamentos </w:t>
            </w:r>
            <w:proofErr w:type="spellStart"/>
            <w:r w:rsidRPr="0040784B">
              <w:t>micelianos</w:t>
            </w:r>
            <w:proofErr w:type="spellEnd"/>
            <w:r w:rsidRPr="0040784B">
              <w:t xml:space="preserve"> pelo método de Howard (exceto tomate seco)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40% de campos positivos para extrato, purê, polpa e molhos</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965.41 (16.19.02) - Extrato, purê de tomate, </w:t>
            </w:r>
            <w:proofErr w:type="spellStart"/>
            <w:r w:rsidRPr="0040784B">
              <w:t>catchup</w:t>
            </w:r>
            <w:proofErr w:type="spellEnd"/>
            <w:r w:rsidRPr="0040784B">
              <w:t xml:space="preserve"> e molhos de tomate </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vMerge/>
            <w:tcBorders>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55% de campos positivos para </w:t>
            </w:r>
            <w:proofErr w:type="spellStart"/>
            <w:r w:rsidRPr="0040784B">
              <w:rPr>
                <w:i/>
                <w:iCs/>
              </w:rPr>
              <w:t>catchup</w:t>
            </w:r>
            <w:proofErr w:type="spellEnd"/>
            <w:r w:rsidRPr="0040784B">
              <w:t xml:space="preserve">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945.90 (16.19.01) - Tomate inteiro enlatado </w:t>
            </w:r>
          </w:p>
        </w:tc>
      </w:tr>
      <w:tr w:rsidR="000F3836" w:rsidRPr="0040784B" w:rsidTr="00CF2C03">
        <w:tblPrEx>
          <w:tblCellMar>
            <w:top w:w="0" w:type="dxa"/>
            <w:bottom w:w="0" w:type="dxa"/>
          </w:tblCellMar>
        </w:tblPrEx>
        <w:trPr>
          <w:trHeight w:val="678"/>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vMerge/>
            <w:tcBorders>
              <w:left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12% de campos positivos para tomate inteiro enlatado com ou sem suco</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945.92 (16.19.04) - Molhos contendo ingredientes como carne, feijão, massas </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 em 100g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955.46 B (16.13.14)</w:t>
            </w:r>
          </w:p>
        </w:tc>
      </w:tr>
      <w:tr w:rsidR="000F3836" w:rsidRPr="0040784B" w:rsidTr="00CF2C03">
        <w:tblPrEx>
          <w:tblCellMar>
            <w:top w:w="0" w:type="dxa"/>
            <w:bottom w:w="0" w:type="dxa"/>
          </w:tblCellMar>
        </w:tblPrEx>
        <w:trPr>
          <w:trHeight w:val="657"/>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Frutas desidratadas exceto uva passa</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25 em 225g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945.77 (16.10.02)</w:t>
            </w:r>
          </w:p>
        </w:tc>
      </w:tr>
      <w:tr w:rsidR="000F3836" w:rsidRPr="0040784B" w:rsidTr="00CF2C03">
        <w:tblPrEx>
          <w:tblCellMar>
            <w:top w:w="0" w:type="dxa"/>
            <w:bottom w:w="0" w:type="dxa"/>
          </w:tblCellMar>
        </w:tblPrEx>
        <w:trPr>
          <w:trHeight w:val="73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Uva passa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25 em 225g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969.42 (16.10.08)</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 em 225g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969.42 (16.10.08)</w:t>
            </w:r>
          </w:p>
        </w:tc>
      </w:tr>
      <w:tr w:rsidR="000F3836" w:rsidRPr="0040784B" w:rsidTr="00CF2C03">
        <w:tblPrEx>
          <w:tblCellMar>
            <w:top w:w="0" w:type="dxa"/>
            <w:bottom w:w="0" w:type="dxa"/>
          </w:tblCellMar>
        </w:tblPrEx>
        <w:trPr>
          <w:trHeight w:val="772"/>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Doce em pasta e geleias de frutas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Fragmentos de insetos indicativos de falhas das boas práticas (não </w:t>
            </w:r>
            <w:r w:rsidRPr="0040784B">
              <w:lastRenderedPageBreak/>
              <w:t>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lastRenderedPageBreak/>
              <w:t xml:space="preserve">25 em 100g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950.89 a (16.10.06) - Doce em pasta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950.89 b (16.10.06) - </w:t>
            </w:r>
            <w:r w:rsidRPr="0040784B">
              <w:lastRenderedPageBreak/>
              <w:t xml:space="preserve">Geleias </w:t>
            </w:r>
          </w:p>
        </w:tc>
      </w:tr>
      <w:tr w:rsidR="000F3836" w:rsidRPr="0040784B" w:rsidTr="00CF2C03">
        <w:tblPrEx>
          <w:tblCellMar>
            <w:top w:w="0" w:type="dxa"/>
            <w:bottom w:w="0" w:type="dxa"/>
          </w:tblCellMar>
        </w:tblPrEx>
        <w:trPr>
          <w:trHeight w:val="804"/>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lastRenderedPageBreak/>
              <w:t>2. Farinhas, massas, produtos de panificação e outros produtos derivados de cereais</w:t>
            </w: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Farinha de trigo </w:t>
            </w:r>
          </w:p>
        </w:tc>
        <w:tc>
          <w:tcPr>
            <w:tcW w:w="2390" w:type="dxa"/>
            <w:tcBorders>
              <w:top w:val="single" w:sz="4" w:space="0" w:color="000000"/>
              <w:left w:val="single" w:sz="4" w:space="0" w:color="000000"/>
              <w:bottom w:val="single" w:sz="4" w:space="0" w:color="auto"/>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75 em 50g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 972.32 (16.05.11) - Farinha de trigo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993.26 (16.05.09) - Farinha de trigo integral </w:t>
            </w:r>
          </w:p>
        </w:tc>
      </w:tr>
      <w:tr w:rsidR="000F3836" w:rsidRPr="0040784B" w:rsidTr="00CF2C03">
        <w:tblPrEx>
          <w:tblCellMar>
            <w:top w:w="0" w:type="dxa"/>
            <w:bottom w:w="0" w:type="dxa"/>
          </w:tblCellMar>
        </w:tblPrEx>
        <w:trPr>
          <w:trHeight w:val="772"/>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Farinha de milho e fubá</w:t>
            </w:r>
          </w:p>
        </w:tc>
        <w:tc>
          <w:tcPr>
            <w:tcW w:w="2390" w:type="dxa"/>
            <w:tcBorders>
              <w:top w:val="single" w:sz="4" w:space="0" w:color="auto"/>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50 em 50g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965.39 A ou B (16.05.15) - Farinha de milho e fubá </w:t>
            </w:r>
          </w:p>
        </w:tc>
      </w:tr>
      <w:tr w:rsidR="000F3836" w:rsidRPr="0040784B" w:rsidTr="00CF2C03">
        <w:tblPrEx>
          <w:tblCellMar>
            <w:top w:w="0" w:type="dxa"/>
            <w:bottom w:w="0" w:type="dxa"/>
          </w:tblCellMar>
        </w:tblPrEx>
        <w:trPr>
          <w:trHeight w:val="543"/>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Alimentos derivados de farinhas, tais como massas alimentícias, biscoitos, produtos de panificação e de confeitaria</w:t>
            </w:r>
          </w:p>
        </w:tc>
        <w:tc>
          <w:tcPr>
            <w:tcW w:w="2390"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225 em 225g </w:t>
            </w:r>
          </w:p>
        </w:tc>
        <w:tc>
          <w:tcPr>
            <w:tcW w:w="2772" w:type="dxa"/>
            <w:tcBorders>
              <w:top w:val="single" w:sz="4" w:space="0" w:color="000000"/>
              <w:left w:val="single" w:sz="4" w:space="0" w:color="000000"/>
              <w:bottom w:val="nil"/>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969.41 (16.06.06) - Massas alimentícias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972.36 (16.06.01) </w:t>
            </w:r>
            <w:r>
              <w:t>–</w:t>
            </w:r>
          </w:p>
        </w:tc>
      </w:tr>
      <w:tr w:rsidR="000F3836" w:rsidRPr="0040784B" w:rsidTr="00CF2C03">
        <w:tblPrEx>
          <w:tblCellMar>
            <w:top w:w="0" w:type="dxa"/>
            <w:bottom w:w="0" w:type="dxa"/>
          </w:tblCellMar>
        </w:tblPrEx>
        <w:trPr>
          <w:trHeight w:val="476"/>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vMerge/>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772" w:type="dxa"/>
            <w:tcBorders>
              <w:top w:val="nil"/>
              <w:left w:val="single" w:sz="4" w:space="0" w:color="000000"/>
              <w:bottom w:val="nil"/>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Pães com alto teor de fibras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972.37 A ou B (16.06.02) - </w:t>
            </w:r>
          </w:p>
        </w:tc>
      </w:tr>
      <w:tr w:rsidR="000F3836" w:rsidRPr="0040784B" w:rsidTr="00CF2C03">
        <w:tblPrEx>
          <w:tblCellMar>
            <w:top w:w="0" w:type="dxa"/>
            <w:bottom w:w="0" w:type="dxa"/>
          </w:tblCellMar>
        </w:tblPrEx>
        <w:trPr>
          <w:trHeight w:val="668"/>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vMerge/>
            <w:tcBorders>
              <w:top w:val="nil"/>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772" w:type="dxa"/>
            <w:tcBorders>
              <w:top w:val="nil"/>
              <w:left w:val="single" w:sz="4" w:space="0" w:color="000000"/>
              <w:bottom w:val="nil"/>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Pão com frutas e castanhas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970.70 (16.06.04) - Pão com alto teor de gorduras </w:t>
            </w:r>
          </w:p>
        </w:tc>
      </w:tr>
      <w:tr w:rsidR="000F3836" w:rsidRPr="0040784B" w:rsidTr="00CF2C03">
        <w:tblPrEx>
          <w:tblCellMar>
            <w:top w:w="0" w:type="dxa"/>
            <w:bottom w:w="0" w:type="dxa"/>
          </w:tblCellMar>
        </w:tblPrEx>
        <w:trPr>
          <w:trHeight w:val="476"/>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vMerge/>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vMerge/>
            <w:tcBorders>
              <w:top w:val="nil"/>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772" w:type="dxa"/>
            <w:vMerge w:val="restart"/>
            <w:tcBorders>
              <w:top w:val="nil"/>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972.36 (16.06.01), 970.70 (16.06.04), 969.41 (16.06.06) - Biscoitos</w:t>
            </w:r>
          </w:p>
        </w:tc>
      </w:tr>
      <w:tr w:rsidR="000F3836" w:rsidRPr="0040784B" w:rsidTr="00CF2C03">
        <w:tblPrEx>
          <w:tblCellMar>
            <w:top w:w="0" w:type="dxa"/>
            <w:bottom w:w="0" w:type="dxa"/>
          </w:tblCellMar>
        </w:tblPrEx>
        <w:trPr>
          <w:trHeight w:val="1304"/>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268" w:type="dxa"/>
            <w:tcBorders>
              <w:top w:val="nil"/>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1985"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772" w:type="dxa"/>
            <w:vMerge/>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trHeight w:val="699"/>
          <w:jc w:val="center"/>
        </w:trPr>
        <w:tc>
          <w:tcPr>
            <w:tcW w:w="1925"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3. Café </w:t>
            </w: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Café torrado e moído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60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988.16 b (16.02.02) - Café torrado e moído </w:t>
            </w:r>
          </w:p>
        </w:tc>
      </w:tr>
      <w:tr w:rsidR="000F3836" w:rsidRPr="0040784B" w:rsidTr="00CF2C03">
        <w:tblPrEx>
          <w:tblCellMar>
            <w:top w:w="0" w:type="dxa"/>
            <w:bottom w:w="0" w:type="dxa"/>
          </w:tblCellMar>
        </w:tblPrEx>
        <w:trPr>
          <w:trHeight w:val="720"/>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4. Chás </w:t>
            </w: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Chá preto, verde ou branco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Fragmentos de insetos indicativos de falhas das boas práticas (não considerados </w:t>
            </w:r>
            <w:r w:rsidRPr="0040784B">
              <w:lastRenderedPageBreak/>
              <w:t>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lastRenderedPageBreak/>
              <w:t xml:space="preserve">20 em 10g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981.18 (16.02.06)</w:t>
            </w:r>
          </w:p>
          <w:p w:rsidR="000F3836" w:rsidRPr="0040784B" w:rsidRDefault="000F3836" w:rsidP="00CF2C03">
            <w:pPr>
              <w:widowControl w:val="0"/>
              <w:autoSpaceDE w:val="0"/>
              <w:autoSpaceDN w:val="0"/>
              <w:adjustRightInd w:val="0"/>
              <w:spacing w:before="0" w:beforeAutospacing="0" w:after="200" w:afterAutospacing="0"/>
            </w:pPr>
          </w:p>
        </w:tc>
      </w:tr>
      <w:tr w:rsidR="000F3836" w:rsidRPr="0040784B" w:rsidTr="00CF2C03">
        <w:tblPrEx>
          <w:tblCellMar>
            <w:top w:w="0" w:type="dxa"/>
            <w:bottom w:w="0" w:type="dxa"/>
          </w:tblCellMar>
        </w:tblPrEx>
        <w:trPr>
          <w:trHeight w:val="73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Chá de camomila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90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Aa Ba (16.14.05) </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Insetos inteiros mortos, exceto 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5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960.51 (16.14.03) </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trHeight w:val="709"/>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Chá de erva doce ou de funcho</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120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 965.40 (16.14.02)</w:t>
            </w:r>
          </w:p>
        </w:tc>
      </w:tr>
      <w:tr w:rsidR="000F3836" w:rsidRPr="0040784B" w:rsidTr="00CF2C03">
        <w:tblPrEx>
          <w:tblCellMar>
            <w:top w:w="0" w:type="dxa"/>
            <w:bottom w:w="0" w:type="dxa"/>
          </w:tblCellMar>
        </w:tblPrEx>
        <w:trPr>
          <w:trHeight w:val="751"/>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Chá de menta ou hortelã</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300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Aa </w:t>
            </w:r>
            <w:proofErr w:type="spellStart"/>
            <w:r w:rsidRPr="0040784B">
              <w:t>Bb</w:t>
            </w:r>
            <w:proofErr w:type="spellEnd"/>
            <w:r w:rsidRPr="0040784B">
              <w:t xml:space="preserve"> (16.14.05)  </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Insetos inteiros mortos, exceto 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5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960.51 (16.14.03) </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2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Aa </w:t>
            </w:r>
            <w:proofErr w:type="spellStart"/>
            <w:r w:rsidRPr="0040784B">
              <w:t>Bb</w:t>
            </w:r>
            <w:proofErr w:type="spellEnd"/>
            <w:r w:rsidRPr="0040784B">
              <w:t xml:space="preserve"> (16.14.05)  </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trHeight w:val="73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Chá de carqueja</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165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751"/>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Chá de cidreira</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165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72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Chá de boldo</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75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color w:val="FF6600"/>
              </w:rPr>
            </w:pPr>
            <w:r w:rsidRPr="0040784B">
              <w:t>975.49 Aa Ba (16.14.05)</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color w:val="FF6600"/>
              </w:rPr>
            </w:pPr>
            <w:r w:rsidRPr="0040784B">
              <w:t>975.49 Aa Ba (16.14.05)</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roofErr w:type="spellStart"/>
            <w:r w:rsidRPr="0040784B">
              <w:t>Bárbulas</w:t>
            </w:r>
            <w:proofErr w:type="spellEnd"/>
            <w:r w:rsidRPr="0040784B">
              <w:t xml:space="preserve">, exceto de pombo </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70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72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Chás simples não listados acima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75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981.18 (16.02.06)</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trHeight w:val="751"/>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Chás compostos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100 em 25g, exceto nos chás compostos que contenham menta e hortelã que é tolerado 200 em 25g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919"/>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 em 25 g nos chás compostos que contenham boldo, menta, hortelã e carqueja.</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730"/>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roofErr w:type="spellStart"/>
            <w:r w:rsidRPr="0040784B">
              <w:t>Bárbulas</w:t>
            </w:r>
            <w:proofErr w:type="spellEnd"/>
            <w:r w:rsidRPr="0040784B">
              <w:t xml:space="preserve">, exceto de pombo </w:t>
            </w:r>
          </w:p>
        </w:tc>
        <w:tc>
          <w:tcPr>
            <w:tcW w:w="1985"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50 em 25g nos chás compostos que contenham boldo</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trHeight w:val="1749"/>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5. Especiarias </w:t>
            </w: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Especiarias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80 na alíquota preconizada pela metodologia para cada vegetal</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(16.14.05) - Método que se aplica a especiaria conforme estabelecido na tabela 975.49 no </w:t>
            </w:r>
            <w:proofErr w:type="spellStart"/>
            <w:r w:rsidRPr="0040784B">
              <w:t>capitulo</w:t>
            </w:r>
            <w:proofErr w:type="spellEnd"/>
            <w:r w:rsidRPr="0040784B">
              <w:t xml:space="preserve"> 16 da AOAC.</w:t>
            </w:r>
          </w:p>
        </w:tc>
      </w:tr>
      <w:tr w:rsidR="000F3836" w:rsidRPr="0040784B" w:rsidTr="00CF2C03">
        <w:tblPrEx>
          <w:tblCellMar>
            <w:top w:w="0" w:type="dxa"/>
            <w:bottom w:w="0" w:type="dxa"/>
          </w:tblCellMar>
        </w:tblPrEx>
        <w:trPr>
          <w:trHeight w:val="699"/>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Páprica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Fragmentos de insetos indicativos de falhas das boas práticas (não considerados </w:t>
            </w:r>
            <w:r w:rsidRPr="0040784B">
              <w:lastRenderedPageBreak/>
              <w:t>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lastRenderedPageBreak/>
              <w:t xml:space="preserve">80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977.25 (16.14.22)</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11 em 25g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977.25 (16.14.22)</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Fungo - Contagem de filamentos </w:t>
            </w:r>
            <w:proofErr w:type="spellStart"/>
            <w:r w:rsidRPr="0040784B">
              <w:t>micelianos</w:t>
            </w:r>
            <w:proofErr w:type="spellEnd"/>
            <w:r w:rsidRPr="0040784B">
              <w:t xml:space="preserve"> pelo método de Howard </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20% de campos positivos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945.94 (16.19.08)</w:t>
            </w:r>
          </w:p>
        </w:tc>
      </w:tr>
      <w:tr w:rsidR="000F3836" w:rsidRPr="0040784B" w:rsidTr="00CF2C03">
        <w:tblPrEx>
          <w:tblCellMar>
            <w:top w:w="0" w:type="dxa"/>
            <w:bottom w:w="0" w:type="dxa"/>
          </w:tblCellMar>
        </w:tblPrEx>
        <w:trPr>
          <w:trHeight w:val="688"/>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Canela em pó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100 em 50g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968.38 b (16.14.12)</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1 em 50g</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968.38 b (16.14.12)</w:t>
            </w:r>
          </w:p>
        </w:tc>
      </w:tr>
      <w:tr w:rsidR="000F3836" w:rsidRPr="0040784B" w:rsidTr="00CF2C03">
        <w:tblPrEx>
          <w:tblCellMar>
            <w:top w:w="0" w:type="dxa"/>
            <w:bottom w:w="0" w:type="dxa"/>
          </w:tblCellMar>
        </w:tblPrEx>
        <w:trPr>
          <w:trHeight w:val="678"/>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Orégano (todas as formas de apresentação)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20 em 10g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w:t>
            </w:r>
            <w:proofErr w:type="spellStart"/>
            <w:r w:rsidRPr="0040784B">
              <w:t>Ab</w:t>
            </w:r>
            <w:proofErr w:type="spellEnd"/>
            <w:r w:rsidRPr="0040784B">
              <w:t xml:space="preserve"> </w:t>
            </w:r>
            <w:proofErr w:type="spellStart"/>
            <w:r w:rsidRPr="0040784B">
              <w:t>Bb</w:t>
            </w:r>
            <w:proofErr w:type="spellEnd"/>
            <w:r w:rsidRPr="0040784B">
              <w:t xml:space="preserve"> (16.14.21) - Orégano moído</w:t>
            </w:r>
          </w:p>
          <w:p w:rsidR="000F3836" w:rsidRPr="0040784B" w:rsidRDefault="000F3836" w:rsidP="00CF2C03">
            <w:pPr>
              <w:widowControl w:val="0"/>
              <w:autoSpaceDE w:val="0"/>
              <w:autoSpaceDN w:val="0"/>
              <w:adjustRightInd w:val="0"/>
              <w:spacing w:before="0" w:beforeAutospacing="0" w:after="200" w:afterAutospacing="0"/>
              <w:jc w:val="center"/>
            </w:pPr>
            <w:r w:rsidRPr="0040784B">
              <w:t>969.44 (16.14.21) - Orégano em flocos</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Insetos inteiros mortos próprios da cultura </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20 em 10g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960.51 (16.14.03)</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 em 10g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w:t>
            </w:r>
            <w:proofErr w:type="spellStart"/>
            <w:r w:rsidRPr="0040784B">
              <w:t>Ab</w:t>
            </w:r>
            <w:proofErr w:type="spellEnd"/>
            <w:r w:rsidRPr="0040784B">
              <w:t xml:space="preserve"> </w:t>
            </w:r>
            <w:proofErr w:type="spellStart"/>
            <w:r w:rsidRPr="0040784B">
              <w:t>Bb</w:t>
            </w:r>
            <w:proofErr w:type="spellEnd"/>
            <w:r w:rsidRPr="0040784B">
              <w:t xml:space="preserve"> (16.14.21) - Orégano moído</w:t>
            </w:r>
          </w:p>
          <w:p w:rsidR="000F3836" w:rsidRPr="0040784B" w:rsidRDefault="000F3836" w:rsidP="00CF2C03">
            <w:pPr>
              <w:widowControl w:val="0"/>
              <w:autoSpaceDE w:val="0"/>
              <w:autoSpaceDN w:val="0"/>
              <w:adjustRightInd w:val="0"/>
              <w:spacing w:before="0" w:beforeAutospacing="0" w:after="200" w:afterAutospacing="0"/>
              <w:jc w:val="center"/>
            </w:pPr>
            <w:r w:rsidRPr="0040784B">
              <w:t>969.44 (16.14.21) - Orégano em flocos</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Pimenta do reino moída </w:t>
            </w: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60 em 50g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972.40 A (16.14.23) - Pimenta do reino preta</w:t>
            </w:r>
          </w:p>
          <w:p w:rsidR="000F3836" w:rsidRPr="0040784B" w:rsidRDefault="000F3836" w:rsidP="00CF2C03">
            <w:pPr>
              <w:widowControl w:val="0"/>
              <w:autoSpaceDE w:val="0"/>
              <w:autoSpaceDN w:val="0"/>
              <w:adjustRightInd w:val="0"/>
              <w:spacing w:before="0" w:beforeAutospacing="0" w:after="200" w:afterAutospacing="0"/>
              <w:jc w:val="center"/>
            </w:pPr>
            <w:r w:rsidRPr="0040784B">
              <w:t>977.24 (16.14.11) - Pimenta do reino branca</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 em 50g (preta)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972.40 A (16.14.23) - Pimenta do reino preta</w:t>
            </w:r>
          </w:p>
          <w:p w:rsidR="000F3836" w:rsidRPr="0040784B" w:rsidRDefault="000F3836" w:rsidP="00CF2C03">
            <w:pPr>
              <w:widowControl w:val="0"/>
              <w:autoSpaceDE w:val="0"/>
              <w:autoSpaceDN w:val="0"/>
              <w:adjustRightInd w:val="0"/>
              <w:spacing w:before="0" w:beforeAutospacing="0" w:after="200" w:afterAutospacing="0"/>
              <w:jc w:val="center"/>
            </w:pPr>
            <w:r w:rsidRPr="0040784B">
              <w:t>977.24 (16.14.11) - Pimenta do reino branca</w:t>
            </w:r>
          </w:p>
        </w:tc>
      </w:tr>
      <w:tr w:rsidR="000F3836" w:rsidRPr="0040784B" w:rsidTr="00CF2C03">
        <w:tblPrEx>
          <w:tblCellMar>
            <w:top w:w="0" w:type="dxa"/>
            <w:bottom w:w="0" w:type="dxa"/>
          </w:tblCellMar>
        </w:tblPrEx>
        <w:trPr>
          <w:trHeight w:val="803"/>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lastRenderedPageBreak/>
              <w:t xml:space="preserve">6. Cacau e produtos derivados </w:t>
            </w: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Cacau em pó ou massa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25 em 50g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965.38 a (16.02.01)</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 em 50g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965.38 a (16.02.01)</w:t>
            </w:r>
          </w:p>
        </w:tc>
      </w:tr>
      <w:tr w:rsidR="000F3836" w:rsidRPr="0040784B" w:rsidTr="00CF2C03">
        <w:tblPrEx>
          <w:tblCellMar>
            <w:top w:w="0" w:type="dxa"/>
            <w:bottom w:w="0" w:type="dxa"/>
          </w:tblCellMar>
        </w:tblPrEx>
        <w:trPr>
          <w:trHeight w:val="824"/>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Chocolate e produtos achocolatados </w:t>
            </w:r>
          </w:p>
        </w:tc>
        <w:tc>
          <w:tcPr>
            <w:tcW w:w="2390" w:type="dxa"/>
            <w:tcBorders>
              <w:top w:val="single" w:sz="4" w:space="0" w:color="000000"/>
              <w:left w:val="single" w:sz="4" w:space="0" w:color="000000"/>
              <w:bottom w:val="nil"/>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insetos indicativos de falhas das boas práticas (não considerados indicativos de risco)</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10 em 100g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965.38 b (16.02.01)</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Fragmentos de pelos de roedor</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 em 100g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965.38 b (16.02.01)</w:t>
            </w:r>
          </w:p>
        </w:tc>
      </w:tr>
      <w:tr w:rsidR="000F3836" w:rsidRPr="0040784B" w:rsidTr="00CF2C03">
        <w:tblPrEx>
          <w:tblCellMar>
            <w:top w:w="0" w:type="dxa"/>
            <w:bottom w:w="0" w:type="dxa"/>
          </w:tblCellMar>
        </w:tblPrEx>
        <w:trPr>
          <w:trHeight w:val="783"/>
          <w:jc w:val="center"/>
        </w:trPr>
        <w:tc>
          <w:tcPr>
            <w:tcW w:w="1925" w:type="dxa"/>
            <w:vMerge w:val="restart"/>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7. Todos os tipos de alimentos </w:t>
            </w:r>
          </w:p>
        </w:tc>
        <w:tc>
          <w:tcPr>
            <w:tcW w:w="2268"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Alimentos em geral </w:t>
            </w:r>
          </w:p>
        </w:tc>
        <w:tc>
          <w:tcPr>
            <w:tcW w:w="2390"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Areia</w:t>
            </w:r>
          </w:p>
        </w:tc>
        <w:tc>
          <w:tcPr>
            <w:tcW w:w="1985" w:type="dxa"/>
            <w:vMerge w:val="restart"/>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1,5% de areia ou cinzas insolúveis em ácido </w:t>
            </w:r>
          </w:p>
        </w:tc>
        <w:tc>
          <w:tcPr>
            <w:tcW w:w="2772" w:type="dxa"/>
            <w:tcBorders>
              <w:top w:val="single" w:sz="4" w:space="0" w:color="000000"/>
              <w:left w:val="single" w:sz="4" w:space="0" w:color="000000"/>
              <w:bottom w:val="nil"/>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975.48 a (16.14.04) - Areia em especiarias, condimentos e vegetais desidratados </w:t>
            </w:r>
          </w:p>
        </w:tc>
      </w:tr>
      <w:tr w:rsidR="000F3836" w:rsidRPr="0040784B" w:rsidTr="00CF2C03">
        <w:tblPrEx>
          <w:tblCellMar>
            <w:top w:w="0" w:type="dxa"/>
            <w:bottom w:w="0" w:type="dxa"/>
          </w:tblCellMar>
        </w:tblPrEx>
        <w:trPr>
          <w:trHeight w:val="824"/>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390"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1985" w:type="dxa"/>
            <w:vMerge/>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p>
        </w:tc>
        <w:tc>
          <w:tcPr>
            <w:tcW w:w="2772" w:type="dxa"/>
            <w:tcBorders>
              <w:top w:val="nil"/>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941.12 B (43.1.05) - Cinzas insolúveis em ácido - Alimentos em geral</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Funcho e gengibre </w:t>
            </w: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Areia</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2,0% de areia ou cinzas insolúveis em ácido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975.48 (16.14.04) - Areia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941.12 B (43.1.05) - Cinzas insolúveis em ácido </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proofErr w:type="spellStart"/>
            <w:r w:rsidRPr="0040784B">
              <w:t>Mangerona</w:t>
            </w:r>
            <w:proofErr w:type="spellEnd"/>
            <w:r w:rsidRPr="0040784B">
              <w:t xml:space="preserve"> </w:t>
            </w: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Areia</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3,5% de areia ou cinzas insolúveis em ácido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975.48 (16.14.04) - Areia </w:t>
            </w:r>
          </w:p>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941.12 B (43.1.05) - Cinzas insolúveis em ácido </w:t>
            </w:r>
          </w:p>
        </w:tc>
      </w:tr>
      <w:tr w:rsidR="000F3836" w:rsidRPr="0040784B" w:rsidTr="00CF2C03">
        <w:tblPrEx>
          <w:tblCellMar>
            <w:top w:w="0" w:type="dxa"/>
            <w:bottom w:w="0" w:type="dxa"/>
          </w:tblCellMar>
        </w:tblPrEx>
        <w:trPr>
          <w:jc w:val="center"/>
        </w:trPr>
        <w:tc>
          <w:tcPr>
            <w:tcW w:w="1925" w:type="dxa"/>
            <w:vMerge/>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p>
        </w:tc>
        <w:tc>
          <w:tcPr>
            <w:tcW w:w="2268"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pPr>
            <w:r w:rsidRPr="0040784B">
              <w:t xml:space="preserve">Orégano </w:t>
            </w:r>
          </w:p>
        </w:tc>
        <w:tc>
          <w:tcPr>
            <w:tcW w:w="2390"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Areia </w:t>
            </w:r>
          </w:p>
        </w:tc>
        <w:tc>
          <w:tcPr>
            <w:tcW w:w="1985"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3,0% de areia ou cinzas insolúveis em ácido </w:t>
            </w:r>
          </w:p>
        </w:tc>
        <w:tc>
          <w:tcPr>
            <w:tcW w:w="2772"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975.48 (16.14.04) - Areia </w:t>
            </w:r>
          </w:p>
          <w:p w:rsidR="000F3836" w:rsidRPr="0040784B" w:rsidRDefault="000F3836" w:rsidP="00CF2C03">
            <w:pPr>
              <w:widowControl w:val="0"/>
              <w:tabs>
                <w:tab w:val="left" w:pos="1215"/>
                <w:tab w:val="center" w:pos="2303"/>
              </w:tabs>
              <w:autoSpaceDE w:val="0"/>
              <w:autoSpaceDN w:val="0"/>
              <w:adjustRightInd w:val="0"/>
              <w:spacing w:before="0" w:beforeAutospacing="0" w:after="200" w:afterAutospacing="0"/>
              <w:jc w:val="center"/>
            </w:pPr>
            <w:r w:rsidRPr="0040784B">
              <w:t>941.12 B (43.1.05) - Cinzas insolúveis em ácido</w:t>
            </w:r>
          </w:p>
        </w:tc>
      </w:tr>
    </w:tbl>
    <w:p w:rsidR="000F3836" w:rsidRDefault="000F3836" w:rsidP="000F3836">
      <w:pPr>
        <w:widowControl w:val="0"/>
        <w:autoSpaceDE w:val="0"/>
        <w:autoSpaceDN w:val="0"/>
        <w:adjustRightInd w:val="0"/>
        <w:spacing w:before="0" w:beforeAutospacing="0" w:after="200" w:afterAutospacing="0"/>
        <w:jc w:val="center"/>
        <w:rPr>
          <w:b/>
          <w:bCs/>
        </w:rPr>
      </w:pP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t>ANEXO 2</w:t>
      </w:r>
    </w:p>
    <w:p w:rsidR="000F3836" w:rsidRPr="0040784B" w:rsidRDefault="000F3836" w:rsidP="000F3836">
      <w:pPr>
        <w:widowControl w:val="0"/>
        <w:autoSpaceDE w:val="0"/>
        <w:autoSpaceDN w:val="0"/>
        <w:adjustRightInd w:val="0"/>
        <w:spacing w:before="0" w:beforeAutospacing="0" w:after="200" w:afterAutospacing="0"/>
        <w:jc w:val="center"/>
        <w:rPr>
          <w:b/>
          <w:bCs/>
        </w:rPr>
      </w:pPr>
      <w:r w:rsidRPr="0040784B">
        <w:rPr>
          <w:b/>
          <w:bCs/>
        </w:rPr>
        <w:lastRenderedPageBreak/>
        <w:t xml:space="preserve">LIMITES DE TOLERÂNCIA PARA ÁCAROS MORTOS POR GRUPOS DE ALIMENTOS </w:t>
      </w:r>
    </w:p>
    <w:tbl>
      <w:tblPr>
        <w:tblW w:w="1020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385"/>
        <w:gridCol w:w="3586"/>
        <w:gridCol w:w="3235"/>
      </w:tblGrid>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 xml:space="preserve">Grupos de alimentos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 xml:space="preserve">Limite de tolerância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rPr>
                <w:b/>
                <w:bCs/>
              </w:rPr>
            </w:pPr>
            <w:r w:rsidRPr="0040784B">
              <w:rPr>
                <w:b/>
                <w:bCs/>
              </w:rPr>
              <w:t>Metodologia Analítica AOAC/FDA</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Alimentos em geral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Máximo de 5 na alíquota analisada de acordo com as recomendações das metodologias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Ver metodologia descrita no Capítulo 16 (</w:t>
            </w:r>
            <w:proofErr w:type="spellStart"/>
            <w:r w:rsidRPr="0040784B">
              <w:t>Sub-capítulos</w:t>
            </w:r>
            <w:proofErr w:type="spellEnd"/>
            <w:r w:rsidRPr="0040784B">
              <w:t xml:space="preserve"> de 1 a 19) da AOAC, de acordo com o tipo alimento.</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Chá de menta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15 em 25g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975.49 Aa </w:t>
            </w:r>
            <w:proofErr w:type="spellStart"/>
            <w:r w:rsidRPr="0040784B">
              <w:t>Bb</w:t>
            </w:r>
            <w:proofErr w:type="spellEnd"/>
            <w:r w:rsidRPr="0040784B">
              <w:t xml:space="preserve"> (16.14.05)  </w:t>
            </w:r>
          </w:p>
          <w:p w:rsidR="000F3836" w:rsidRPr="0040784B" w:rsidRDefault="000F3836" w:rsidP="00CF2C03">
            <w:pPr>
              <w:widowControl w:val="0"/>
              <w:autoSpaceDE w:val="0"/>
              <w:autoSpaceDN w:val="0"/>
              <w:adjustRightInd w:val="0"/>
              <w:spacing w:before="0" w:beforeAutospacing="0" w:after="200" w:afterAutospacing="0"/>
              <w:jc w:val="center"/>
            </w:pP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Chá de carqueja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10 em 25g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975.49 Aa Ba (16.14.05)</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Derivados de morango (polpas, geleias e outros doces)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15 em 100g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950.89 (16.10.06) - Geleias </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Queijo inteiro ou ralado</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25 em 225g</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960.49 (16.3.03) ou 994.05 (16.3.04)</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Queijo sólido inteiro</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5 em 2,5 cm² (camada da superfície de 0,6 cm de profundidade)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Inspeção visual para contaminação superficial</w:t>
            </w:r>
          </w:p>
        </w:tc>
      </w:tr>
      <w:tr w:rsidR="000F3836" w:rsidRPr="0040784B" w:rsidTr="00CF2C03">
        <w:tblPrEx>
          <w:tblCellMar>
            <w:top w:w="0" w:type="dxa"/>
            <w:bottom w:w="0" w:type="dxa"/>
          </w:tblCellMar>
        </w:tblPrEx>
        <w:trPr>
          <w:jc w:val="center"/>
        </w:trPr>
        <w:tc>
          <w:tcPr>
            <w:tcW w:w="3269" w:type="dxa"/>
            <w:tcBorders>
              <w:top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Cogumelos </w:t>
            </w:r>
          </w:p>
        </w:tc>
        <w:tc>
          <w:tcPr>
            <w:tcW w:w="3462" w:type="dxa"/>
            <w:tcBorders>
              <w:top w:val="single" w:sz="4" w:space="0" w:color="000000"/>
              <w:left w:val="single" w:sz="4" w:space="0" w:color="000000"/>
              <w:bottom w:val="single" w:sz="4" w:space="0" w:color="000000"/>
              <w:right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 xml:space="preserve">75 em 100g do produto drenado ou em 15 g do produto seco </w:t>
            </w:r>
          </w:p>
        </w:tc>
        <w:tc>
          <w:tcPr>
            <w:tcW w:w="3123" w:type="dxa"/>
            <w:tcBorders>
              <w:top w:val="single" w:sz="4" w:space="0" w:color="000000"/>
              <w:left w:val="single" w:sz="4" w:space="0" w:color="000000"/>
              <w:bottom w:val="single" w:sz="4" w:space="0" w:color="000000"/>
            </w:tcBorders>
          </w:tcPr>
          <w:p w:rsidR="000F3836" w:rsidRPr="0040784B" w:rsidRDefault="000F3836" w:rsidP="00CF2C03">
            <w:pPr>
              <w:widowControl w:val="0"/>
              <w:autoSpaceDE w:val="0"/>
              <w:autoSpaceDN w:val="0"/>
              <w:adjustRightInd w:val="0"/>
              <w:spacing w:before="0" w:beforeAutospacing="0" w:after="200" w:afterAutospacing="0"/>
              <w:jc w:val="center"/>
            </w:pPr>
            <w:r w:rsidRPr="0040784B">
              <w:t>967.24 (16.13.11)</w:t>
            </w:r>
          </w:p>
        </w:tc>
      </w:tr>
    </w:tbl>
    <w:p w:rsidR="009D00B9" w:rsidRDefault="009D00B9"/>
    <w:sectPr w:rsidR="009D00B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836" w:rsidRDefault="000F3836" w:rsidP="000F3836">
      <w:pPr>
        <w:spacing w:before="0" w:after="0"/>
      </w:pPr>
      <w:r>
        <w:separator/>
      </w:r>
    </w:p>
  </w:endnote>
  <w:endnote w:type="continuationSeparator" w:id="0">
    <w:p w:rsidR="000F3836" w:rsidRDefault="000F3836" w:rsidP="000F38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836" w:rsidRPr="000F3836" w:rsidRDefault="000F3836" w:rsidP="000F3836">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836" w:rsidRDefault="000F3836" w:rsidP="000F3836">
      <w:pPr>
        <w:spacing w:before="0" w:after="0"/>
      </w:pPr>
      <w:r>
        <w:separator/>
      </w:r>
    </w:p>
  </w:footnote>
  <w:footnote w:type="continuationSeparator" w:id="0">
    <w:p w:rsidR="000F3836" w:rsidRDefault="000F3836" w:rsidP="000F383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836" w:rsidRPr="000F3836" w:rsidRDefault="000F3836" w:rsidP="000F3836">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0F3836">
      <w:rPr>
        <w:rFonts w:ascii="Calibri" w:eastAsia="Times New Roman" w:hAnsi="Calibri"/>
        <w:noProof/>
        <w:sz w:val="22"/>
        <w:szCs w:val="22"/>
      </w:rPr>
      <w:drawing>
        <wp:inline distT="0" distB="0" distL="0" distR="0" wp14:anchorId="1C1823D2" wp14:editId="6522EEA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F3836" w:rsidRPr="000F3836" w:rsidRDefault="000F3836" w:rsidP="000F3836">
    <w:pPr>
      <w:tabs>
        <w:tab w:val="center" w:pos="4252"/>
        <w:tab w:val="right" w:pos="8504"/>
      </w:tabs>
      <w:spacing w:before="0" w:beforeAutospacing="0" w:after="0" w:afterAutospacing="0"/>
      <w:jc w:val="center"/>
      <w:rPr>
        <w:rFonts w:ascii="Calibri" w:eastAsia="Times New Roman" w:hAnsi="Calibri"/>
        <w:b/>
        <w:szCs w:val="22"/>
        <w:lang w:eastAsia="en-US"/>
      </w:rPr>
    </w:pPr>
    <w:r w:rsidRPr="000F3836">
      <w:rPr>
        <w:rFonts w:ascii="Calibri" w:eastAsia="Times New Roman" w:hAnsi="Calibri"/>
        <w:b/>
        <w:szCs w:val="22"/>
        <w:lang w:eastAsia="en-US"/>
      </w:rPr>
      <w:t>Ministério da Saúde - MS</w:t>
    </w:r>
  </w:p>
  <w:p w:rsidR="000F3836" w:rsidRDefault="000F3836" w:rsidP="000F3836">
    <w:pPr>
      <w:tabs>
        <w:tab w:val="center" w:pos="4252"/>
        <w:tab w:val="right" w:pos="8504"/>
      </w:tabs>
      <w:spacing w:before="0" w:beforeAutospacing="0" w:after="0" w:afterAutospacing="0"/>
      <w:jc w:val="center"/>
      <w:rPr>
        <w:rFonts w:ascii="Calibri" w:eastAsia="Times New Roman" w:hAnsi="Calibri"/>
        <w:b/>
        <w:szCs w:val="22"/>
        <w:lang w:eastAsia="en-US"/>
      </w:rPr>
    </w:pPr>
    <w:r w:rsidRPr="000F3836">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0F3836">
      <w:rPr>
        <w:rFonts w:ascii="Calibri" w:eastAsia="Times New Roman" w:hAnsi="Calibri"/>
        <w:b/>
        <w:szCs w:val="22"/>
        <w:lang w:eastAsia="en-US"/>
      </w:rPr>
      <w:t xml:space="preserve"> ANVISA</w:t>
    </w:r>
  </w:p>
  <w:p w:rsidR="000F3836" w:rsidRPr="000F3836" w:rsidRDefault="000F3836" w:rsidP="000F3836">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36"/>
    <w:rsid w:val="000F3836"/>
    <w:rsid w:val="00453AA0"/>
    <w:rsid w:val="004A6AE6"/>
    <w:rsid w:val="009D00B9"/>
    <w:rsid w:val="00A12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113CB"/>
  <w15:chartTrackingRefBased/>
  <w15:docId w15:val="{3966EE5F-D7DA-48CE-AC28-EF69EE9D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3836"/>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0F3836"/>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0F3836"/>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3836"/>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0F3836"/>
    <w:rPr>
      <w:rFonts w:ascii="Arial" w:eastAsiaTheme="minorEastAsia" w:hAnsi="Arial" w:cs="Arial"/>
      <w:b/>
      <w:bCs/>
      <w:color w:val="000000"/>
      <w:sz w:val="21"/>
      <w:szCs w:val="21"/>
      <w:lang w:eastAsia="pt-BR"/>
    </w:rPr>
  </w:style>
  <w:style w:type="paragraph" w:styleId="Cabealho">
    <w:name w:val="header"/>
    <w:basedOn w:val="Normal"/>
    <w:link w:val="CabealhoChar"/>
    <w:uiPriority w:val="99"/>
    <w:unhideWhenUsed/>
    <w:rsid w:val="000F3836"/>
    <w:pPr>
      <w:tabs>
        <w:tab w:val="center" w:pos="4252"/>
        <w:tab w:val="right" w:pos="8504"/>
      </w:tabs>
      <w:spacing w:before="0" w:after="0"/>
    </w:pPr>
  </w:style>
  <w:style w:type="character" w:customStyle="1" w:styleId="CabealhoChar">
    <w:name w:val="Cabeçalho Char"/>
    <w:basedOn w:val="Fontepargpadro"/>
    <w:link w:val="Cabealho"/>
    <w:uiPriority w:val="99"/>
    <w:rsid w:val="000F3836"/>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0F3836"/>
    <w:pPr>
      <w:tabs>
        <w:tab w:val="center" w:pos="4252"/>
        <w:tab w:val="right" w:pos="8504"/>
      </w:tabs>
      <w:spacing w:before="0" w:after="0"/>
    </w:pPr>
  </w:style>
  <w:style w:type="character" w:customStyle="1" w:styleId="RodapChar">
    <w:name w:val="Rodapé Char"/>
    <w:basedOn w:val="Fontepargpadro"/>
    <w:link w:val="Rodap"/>
    <w:uiPriority w:val="99"/>
    <w:rsid w:val="000F3836"/>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DBE8B-4D28-4CA3-B042-396A5C1EDA15}"/>
</file>

<file path=customXml/itemProps2.xml><?xml version="1.0" encoding="utf-8"?>
<ds:datastoreItem xmlns:ds="http://schemas.openxmlformats.org/officeDocument/2006/customXml" ds:itemID="{D3CE1B30-038D-4176-837D-EF7F2FA4EB07}"/>
</file>

<file path=customXml/itemProps3.xml><?xml version="1.0" encoding="utf-8"?>
<ds:datastoreItem xmlns:ds="http://schemas.openxmlformats.org/officeDocument/2006/customXml" ds:itemID="{85594C18-056D-4615-855C-370BE1013648}"/>
</file>

<file path=docProps/app.xml><?xml version="1.0" encoding="utf-8"?>
<Properties xmlns="http://schemas.openxmlformats.org/officeDocument/2006/extended-properties" xmlns:vt="http://schemas.openxmlformats.org/officeDocument/2006/docPropsVTypes">
  <Template>Normal</Template>
  <TotalTime>2</TotalTime>
  <Pages>13</Pages>
  <Words>3345</Words>
  <Characters>18066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1</cp:revision>
  <dcterms:created xsi:type="dcterms:W3CDTF">2017-09-30T15:22:00Z</dcterms:created>
  <dcterms:modified xsi:type="dcterms:W3CDTF">2017-09-30T15:24:00Z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