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D88" w:rsidRDefault="00B14D88" w:rsidP="00191701">
      <w:pPr>
        <w:pStyle w:val="Ttulo1"/>
        <w:spacing w:before="0" w:beforeAutospacing="0" w:afterLines="200" w:after="480" w:afterAutospacing="0"/>
        <w:ind w:left="-567" w:right="-852"/>
        <w:divId w:val="70556989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91701">
        <w:rPr>
          <w:rFonts w:ascii="Times New Roman" w:hAnsi="Times New Roman" w:cs="Times New Roman"/>
          <w:sz w:val="24"/>
          <w:szCs w:val="24"/>
        </w:rPr>
        <w:t xml:space="preserve">Resolução de Diretoria Colegiada – RDC </w:t>
      </w:r>
      <w:r w:rsidR="00E2552E">
        <w:rPr>
          <w:rFonts w:ascii="Times New Roman" w:hAnsi="Times New Roman" w:cs="Times New Roman"/>
          <w:sz w:val="24"/>
          <w:szCs w:val="24"/>
        </w:rPr>
        <w:t>nº 163, de 17 de agosto de 2006</w:t>
      </w:r>
    </w:p>
    <w:p w:rsidR="00191701" w:rsidRPr="000E57A5" w:rsidRDefault="00191701" w:rsidP="00191701">
      <w:pPr>
        <w:spacing w:before="0" w:beforeAutospacing="0" w:afterLines="200" w:after="480" w:afterAutospacing="0"/>
        <w:jc w:val="center"/>
        <w:divId w:val="705569890"/>
        <w:rPr>
          <w:b/>
          <w:color w:val="0000FF"/>
        </w:rPr>
      </w:pPr>
      <w:r w:rsidRPr="000E57A5">
        <w:rPr>
          <w:b/>
          <w:color w:val="0000FF"/>
        </w:rPr>
        <w:t>(Publicada no DOU nº 1</w:t>
      </w:r>
      <w:r>
        <w:rPr>
          <w:b/>
          <w:color w:val="0000FF"/>
        </w:rPr>
        <w:t>6</w:t>
      </w:r>
      <w:r w:rsidRPr="000E57A5">
        <w:rPr>
          <w:b/>
          <w:color w:val="0000FF"/>
        </w:rPr>
        <w:t>0, de 21 de a</w:t>
      </w:r>
      <w:r>
        <w:rPr>
          <w:b/>
          <w:color w:val="0000FF"/>
        </w:rPr>
        <w:t>gosto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06</w:t>
      </w:r>
      <w:r w:rsidRPr="000E57A5">
        <w:rPr>
          <w:b/>
          <w:color w:val="0000FF"/>
        </w:rPr>
        <w:t>)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rPr>
          <w:b/>
          <w:bCs/>
        </w:rPr>
        <w:t>A Diretoria Colegiada da Agência Nacional de Vigilância Sanitária,</w:t>
      </w:r>
      <w:r w:rsidRPr="00191701">
        <w:t xml:space="preserve"> no uso da atribuição que lhe confere o art. 11 inciso IV do Regulamento da ANVISA aprovado pelo Decreto nº 3.029, de 16 de abril de 1999, c/c o art. 111, inciso I, alínea “b”, § 1º do Regimento Interno aprovado pela Portaria nº 593, de 25 de agosto de 2000, republicada no D.O.U. de 22 de dezembro de 2000, em reunião realizada em 7 de agosto de 2006.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considerando a necessidade do constante aperfeiçoamento das ações de controle sanitário na área de alimentos visando a proteção à saúde da população;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considerando a importância de compatibilizar a legislação nacional com base nos instrumentos harmonizados no Mercosul relacionados à rotulagem nutricional de alimentos embalados – Resolução GMC nº 31/06;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considerando que a rotulagem nutricional implementada pelas Resoluções-RDC n° 359/2003 e 360/2003 facilita o consumidor conhecer as propriedades nutricionais dos alimentos, contribuindo para o consumo adequado dos mesmos;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considerando que a informação que se declara na rotulagem nutricional complementa as estratégias e políticas de saúde em benefício da saúde do consumidor deve ser suficientemente clara;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considerando que o resultado da experiência da aplicação das referidas Resoluções torna necessário o esclarecimento dos conceitos que já constam em alguns dos seus textos;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considerando que a presente Resolução Complementar facilitará a livre circulação dos produtos, atuará em benefício do consumidor e evitará obstáculos técnicos ao comércio;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considerando que esta Resolução complementa as Resoluções-RDC nº 359 e RDC nº 360, de 23 de dezembro de 2003,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lastRenderedPageBreak/>
        <w:t>adotou a seguinte Resolução de Diretoria Colegiada e eu, Diretor-Presidente, determino a sua publicação: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Art. 1º Aprovar o documento sobre Rotulagem Nutricional de Alimentos Embalados (Complementação das Resoluções-RDC nº 359 e RDC nº 360, de 23 de dezembro de 2003), que consta como Anexo da presente Resolução.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Art. 2º Esta Resolução entra em vigor na data de sua publicação.</w:t>
      </w:r>
    </w:p>
    <w:p w:rsidR="00B14D88" w:rsidRPr="00191701" w:rsidRDefault="00B14D88" w:rsidP="00191701">
      <w:pPr>
        <w:pStyle w:val="Ttulo2"/>
        <w:spacing w:before="0" w:beforeAutospacing="0" w:afterLines="200" w:after="480" w:afterAutospacing="0"/>
        <w:ind w:left="57"/>
        <w:divId w:val="705569890"/>
        <w:rPr>
          <w:rFonts w:ascii="Times New Roman" w:hAnsi="Times New Roman" w:cs="Times New Roman"/>
          <w:sz w:val="24"/>
          <w:szCs w:val="24"/>
        </w:rPr>
      </w:pPr>
      <w:r w:rsidRPr="00191701">
        <w:rPr>
          <w:rFonts w:ascii="Times New Roman" w:hAnsi="Times New Roman" w:cs="Times New Roman"/>
          <w:sz w:val="24"/>
          <w:szCs w:val="24"/>
        </w:rPr>
        <w:t>DIRCEU RAPOSO DE MELLO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/>
        <w:jc w:val="center"/>
        <w:divId w:val="705569890"/>
      </w:pPr>
      <w:r w:rsidRPr="00191701">
        <w:t>ANEXO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/>
        <w:jc w:val="both"/>
        <w:divId w:val="705569890"/>
      </w:pPr>
      <w:r w:rsidRPr="00191701">
        <w:t>ROTULAGEM NUTRICIONAL DE ALIMENTOS EMBALADOS (COMPLEMENTAÇÃO DAS RESOLUÇÕES RDC Nº 359/2003 E RDC Nº 360/2003)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1. Com relação ao âmbito de aplicação da Resolução RDC nº 360/2003 considera-se que:</w:t>
      </w:r>
    </w:p>
    <w:p w:rsidR="00B14D88" w:rsidRPr="00191701" w:rsidRDefault="002B42FD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>
        <w:t xml:space="preserve">- </w:t>
      </w:r>
      <w:r w:rsidR="00B14D88" w:rsidRPr="00191701">
        <w:t xml:space="preserve">O item 6 das exceções “Sal (cloreto de </w:t>
      </w:r>
      <w:r w:rsidRPr="00191701">
        <w:t>sódio) ”</w:t>
      </w:r>
      <w:r w:rsidR="00B14D88" w:rsidRPr="00191701">
        <w:t xml:space="preserve"> inclui o sal adicionado, de acordo com os programas de saúde.</w:t>
      </w:r>
    </w:p>
    <w:p w:rsidR="00B14D88" w:rsidRPr="00191701" w:rsidRDefault="002B42FD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>
        <w:t xml:space="preserve">- </w:t>
      </w:r>
      <w:r w:rsidR="00B14D88" w:rsidRPr="00191701">
        <w:t>No item 7 das exceções entende-se como “sem adição de outros ingredientes</w:t>
      </w:r>
      <w:r w:rsidRPr="00191701">
        <w:t>” aqueles</w:t>
      </w:r>
      <w:r w:rsidR="00B14D88" w:rsidRPr="00191701">
        <w:t xml:space="preserve"> </w:t>
      </w:r>
      <w:r w:rsidRPr="00191701">
        <w:t>ingredientes que</w:t>
      </w:r>
      <w:r w:rsidR="00B14D88" w:rsidRPr="00191701">
        <w:t xml:space="preserve"> não agreguem valor nutricional significativo ao produto. Os valores de nutrientes não significativos são os estabelecidos no item 3.4.3.2 da Resolução RDC nº 360/2003.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Quando a quantidade de nutrientes adicionados obrigue a declaração da informação nutricional nestes tipos de produtos, deverá ser considerado como porção: “quantidade suficiente para preparar uma xícara” e se utilizará como medida caseira “X colheres de chá correspondentes”.</w:t>
      </w:r>
    </w:p>
    <w:p w:rsidR="00B14D88" w:rsidRPr="00191701" w:rsidRDefault="00B14D88" w:rsidP="002B42FD">
      <w:pPr>
        <w:pStyle w:val="Corpodetexto2"/>
        <w:spacing w:before="0" w:beforeAutospacing="0" w:afterLines="200" w:after="480" w:afterAutospacing="0" w:line="240" w:lineRule="auto"/>
        <w:ind w:left="57"/>
        <w:jc w:val="both"/>
        <w:divId w:val="705569890"/>
      </w:pPr>
      <w:r w:rsidRPr="00191701">
        <w:t>2. Retifica-se no Anexo A da Resolução RDC nº 360/2003: “Valores de Ingestão Diária Recomendada de Nutrientes (IDR) de Declaração Voluntária: Vitaminas e Minerais” o valor estabelecido para o ácido fólico segundo o documento Human Vitamin and Mineral Requirements, Report 07ª Joint FAO/OMS Expert Consultation Bangkok, Thailand, 2001: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lastRenderedPageBreak/>
        <w:t>Ácido fólico - 240 microgramas (que equivalem a 400 microgramas de folato)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  <w:rPr>
          <w:b/>
          <w:bCs/>
        </w:rPr>
      </w:pPr>
      <w:r w:rsidRPr="00191701">
        <w:t>3. Embalagens individuais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a) Para a declaração de valor energético e nutrientes nas tabelas do Anexo B da Resolução RDC nº 360/2003, no caso das embalagens individuais, considera-se:</w:t>
      </w:r>
    </w:p>
    <w:p w:rsidR="00B14D88" w:rsidRPr="00191701" w:rsidRDefault="00B14D88" w:rsidP="002B42FD">
      <w:pPr>
        <w:spacing w:before="0" w:beforeAutospacing="0"/>
        <w:ind w:left="57" w:firstLine="567"/>
        <w:jc w:val="both"/>
        <w:divId w:val="705569890"/>
      </w:pPr>
      <w:r w:rsidRPr="00191701">
        <w:sym w:font="Symbol" w:char="F0B7"/>
      </w:r>
      <w:r w:rsidRPr="00191701">
        <w:t xml:space="preserve"> Porção: “Quantidade por embalagem”</w:t>
      </w:r>
    </w:p>
    <w:p w:rsidR="00B14D88" w:rsidRPr="00191701" w:rsidRDefault="00B14D88" w:rsidP="002B42FD">
      <w:pPr>
        <w:spacing w:before="0" w:beforeAutospacing="0"/>
        <w:ind w:left="57" w:firstLine="567"/>
        <w:jc w:val="both"/>
        <w:divId w:val="705569890"/>
      </w:pPr>
      <w:r w:rsidRPr="00191701">
        <w:sym w:font="Symbol" w:char="F0B7"/>
      </w:r>
      <w:r w:rsidRPr="00191701">
        <w:t xml:space="preserve"> Medida caseira: a unidade do produto: “1 barra”, “1 pote”, “1 sachê”, “1 pacote”, “x unidade (s)”, entre outras.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b) Quando o conteúdo líquido se encontrar entre 171% e 200% da porção estabelecida no Regulamento Técnico  correspondente</w:t>
      </w:r>
      <w:r w:rsidR="002B42FD" w:rsidRPr="00191701">
        <w:t>, deverá</w:t>
      </w:r>
      <w:r w:rsidRPr="00191701">
        <w:t xml:space="preserve"> ser declarado:</w:t>
      </w:r>
    </w:p>
    <w:p w:rsidR="00B14D88" w:rsidRPr="00191701" w:rsidRDefault="00B14D88" w:rsidP="002B42FD">
      <w:pPr>
        <w:spacing w:before="0" w:beforeAutospacing="0"/>
        <w:ind w:left="57" w:firstLine="567"/>
        <w:jc w:val="both"/>
        <w:divId w:val="705569890"/>
      </w:pPr>
      <w:r w:rsidRPr="00191701">
        <w:sym w:font="Symbol" w:char="F0B7"/>
      </w:r>
      <w:r w:rsidRPr="00191701">
        <w:t xml:space="preserve"> 2 (duas) porções de referência, ou</w:t>
      </w:r>
    </w:p>
    <w:p w:rsidR="00B14D88" w:rsidRPr="00191701" w:rsidRDefault="00B14D88" w:rsidP="002B42FD">
      <w:pPr>
        <w:spacing w:before="0" w:beforeAutospacing="0"/>
        <w:ind w:left="57" w:firstLine="567"/>
        <w:jc w:val="both"/>
        <w:divId w:val="705569890"/>
      </w:pPr>
      <w:r w:rsidRPr="00191701">
        <w:sym w:font="Symbol" w:char="F0B7"/>
      </w:r>
      <w:r w:rsidRPr="00191701">
        <w:t xml:space="preserve"> porção de referência de ...g ou ml.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 w:firstLine="567"/>
        <w:jc w:val="both"/>
        <w:divId w:val="705569890"/>
      </w:pPr>
      <w:r w:rsidRPr="00191701">
        <w:t>O disposto na Resolução RDC nº 359/2003 poderá opcionalmente ser declarado da seguinte forma:</w:t>
      </w:r>
    </w:p>
    <w:p w:rsidR="00B14D88" w:rsidRPr="00191701" w:rsidRDefault="00B14D88" w:rsidP="00191701">
      <w:pPr>
        <w:spacing w:before="0" w:beforeAutospacing="0" w:afterLines="200" w:after="480" w:afterAutospacing="0"/>
        <w:ind w:left="57"/>
        <w:jc w:val="both"/>
        <w:divId w:val="705569890"/>
        <w:rPr>
          <w:b/>
          <w:bCs/>
        </w:rPr>
      </w:pPr>
      <w:r w:rsidRPr="00191701">
        <w:rPr>
          <w:b/>
          <w:bCs/>
        </w:rPr>
        <w:t>1) Conteúdo líquido menor que 30% da porção estabelecida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9"/>
        <w:gridCol w:w="3107"/>
        <w:gridCol w:w="2768"/>
      </w:tblGrid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5000" w:type="pct"/>
            <w:gridSpan w:val="3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center"/>
              <w:rPr>
                <w:b/>
                <w:bCs/>
              </w:rPr>
            </w:pPr>
            <w:r w:rsidRPr="00191701">
              <w:rPr>
                <w:b/>
                <w:bCs/>
              </w:rPr>
              <w:t>INFORMAÇÂO NUTRICIONAL</w:t>
            </w:r>
          </w:p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  <w:rPr>
                <w:b/>
                <w:bCs/>
              </w:rPr>
            </w:pPr>
            <w:r w:rsidRPr="00191701">
              <w:rPr>
                <w:b/>
                <w:bCs/>
              </w:rPr>
              <w:t>....g ou ml (unidade) - porção de referência de....g ou ml</w:t>
            </w: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02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797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  <w:r w:rsidRPr="00191701">
              <w:t>Quantidade por embalagem</w:t>
            </w:r>
          </w:p>
        </w:tc>
        <w:tc>
          <w:tcPr>
            <w:tcW w:w="1601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02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797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01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</w:tbl>
    <w:p w:rsidR="00191701" w:rsidRDefault="00191701" w:rsidP="00191701">
      <w:pPr>
        <w:spacing w:before="0" w:beforeAutospacing="0" w:afterLines="200" w:after="480" w:afterAutospacing="0"/>
        <w:ind w:left="57"/>
        <w:jc w:val="both"/>
        <w:divId w:val="705569890"/>
        <w:rPr>
          <w:b/>
          <w:bCs/>
        </w:rPr>
      </w:pPr>
    </w:p>
    <w:p w:rsidR="002B42FD" w:rsidRDefault="002B42FD" w:rsidP="00191701">
      <w:pPr>
        <w:spacing w:before="0" w:beforeAutospacing="0" w:afterLines="200" w:after="480" w:afterAutospacing="0"/>
        <w:ind w:left="57"/>
        <w:jc w:val="both"/>
        <w:divId w:val="705569890"/>
        <w:rPr>
          <w:b/>
          <w:bCs/>
        </w:rPr>
      </w:pPr>
    </w:p>
    <w:p w:rsidR="002B42FD" w:rsidRDefault="002B42FD" w:rsidP="00191701">
      <w:pPr>
        <w:spacing w:before="0" w:beforeAutospacing="0" w:afterLines="200" w:after="480" w:afterAutospacing="0"/>
        <w:ind w:left="57"/>
        <w:jc w:val="both"/>
        <w:divId w:val="705569890"/>
        <w:rPr>
          <w:b/>
          <w:bCs/>
        </w:rPr>
      </w:pPr>
    </w:p>
    <w:p w:rsidR="00B14D88" w:rsidRPr="00191701" w:rsidRDefault="00B14D88" w:rsidP="00191701">
      <w:pPr>
        <w:spacing w:before="0" w:beforeAutospacing="0" w:afterLines="200" w:after="480" w:afterAutospacing="0"/>
        <w:ind w:left="57"/>
        <w:jc w:val="both"/>
        <w:divId w:val="705569890"/>
        <w:rPr>
          <w:b/>
          <w:bCs/>
        </w:rPr>
      </w:pPr>
      <w:r w:rsidRPr="00191701">
        <w:rPr>
          <w:b/>
          <w:bCs/>
        </w:rPr>
        <w:t>2) Conteúdo líquido entre 31% e 70% da porção estabelecida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9"/>
        <w:gridCol w:w="3107"/>
        <w:gridCol w:w="2768"/>
      </w:tblGrid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5000" w:type="pct"/>
            <w:gridSpan w:val="3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center"/>
              <w:rPr>
                <w:b/>
                <w:bCs/>
              </w:rPr>
            </w:pPr>
            <w:r w:rsidRPr="00191701">
              <w:rPr>
                <w:b/>
                <w:bCs/>
              </w:rPr>
              <w:t>INFORMAÇÂO NUTRICIONAL</w:t>
            </w:r>
          </w:p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  <w:rPr>
                <w:b/>
                <w:bCs/>
              </w:rPr>
            </w:pPr>
            <w:r w:rsidRPr="00191701">
              <w:rPr>
                <w:b/>
                <w:bCs/>
              </w:rPr>
              <w:t>....g ou ml (unidade) - porção de referência de.....g ou ml</w:t>
            </w: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02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797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  <w:r w:rsidRPr="00191701">
              <w:t>Quantidade por embalagem</w:t>
            </w:r>
          </w:p>
        </w:tc>
        <w:tc>
          <w:tcPr>
            <w:tcW w:w="1601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02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797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01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</w:tbl>
    <w:p w:rsidR="00B14D88" w:rsidRPr="00191701" w:rsidRDefault="00B14D88" w:rsidP="00191701">
      <w:pPr>
        <w:spacing w:before="0" w:beforeAutospacing="0" w:afterLines="200" w:after="480" w:afterAutospacing="0"/>
        <w:ind w:left="57"/>
        <w:jc w:val="both"/>
        <w:divId w:val="705569890"/>
        <w:rPr>
          <w:b/>
          <w:bCs/>
        </w:rPr>
      </w:pPr>
      <w:r w:rsidRPr="00191701">
        <w:rPr>
          <w:b/>
          <w:bCs/>
        </w:rPr>
        <w:t>3) Conteúdo líquido entre 71% e 130% da porção estabelecida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1"/>
        <w:gridCol w:w="3105"/>
        <w:gridCol w:w="2768"/>
      </w:tblGrid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5000" w:type="pct"/>
            <w:gridSpan w:val="3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center"/>
              <w:rPr>
                <w:b/>
                <w:bCs/>
              </w:rPr>
            </w:pPr>
            <w:r w:rsidRPr="00191701">
              <w:rPr>
                <w:b/>
                <w:bCs/>
              </w:rPr>
              <w:t>INFORMAÇÂO NUTRICIONAL</w:t>
            </w:r>
          </w:p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  <w:rPr>
                <w:b/>
                <w:bCs/>
              </w:rPr>
            </w:pPr>
            <w:r w:rsidRPr="00191701">
              <w:rPr>
                <w:b/>
                <w:bCs/>
              </w:rPr>
              <w:t xml:space="preserve">Porção ....g ou ml (1 medida caseira) </w:t>
            </w: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03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796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  <w:r w:rsidRPr="00191701">
              <w:t>Quantidade por porção</w:t>
            </w:r>
          </w:p>
        </w:tc>
        <w:tc>
          <w:tcPr>
            <w:tcW w:w="1601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03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796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01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</w:tbl>
    <w:p w:rsidR="00B14D88" w:rsidRPr="00191701" w:rsidRDefault="00B14D88" w:rsidP="00191701">
      <w:pPr>
        <w:spacing w:before="0" w:beforeAutospacing="0" w:afterLines="200" w:after="480" w:afterAutospacing="0"/>
        <w:ind w:left="57"/>
        <w:jc w:val="both"/>
        <w:divId w:val="705569890"/>
        <w:rPr>
          <w:b/>
          <w:bCs/>
        </w:rPr>
      </w:pPr>
      <w:r w:rsidRPr="00191701">
        <w:rPr>
          <w:b/>
          <w:bCs/>
        </w:rPr>
        <w:t>4) Conteúdo líquido entre 131% e 170% da porção estabelecida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9"/>
        <w:gridCol w:w="3107"/>
        <w:gridCol w:w="2768"/>
      </w:tblGrid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5000" w:type="pct"/>
            <w:gridSpan w:val="3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center"/>
              <w:rPr>
                <w:b/>
                <w:bCs/>
              </w:rPr>
            </w:pPr>
            <w:r w:rsidRPr="00191701">
              <w:rPr>
                <w:b/>
                <w:bCs/>
              </w:rPr>
              <w:t>INFORMAÇÂO NUTRICIONAL</w:t>
            </w:r>
          </w:p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  <w:rPr>
                <w:b/>
                <w:bCs/>
              </w:rPr>
            </w:pPr>
            <w:r w:rsidRPr="00191701">
              <w:rPr>
                <w:b/>
                <w:bCs/>
              </w:rPr>
              <w:t>...g ou ml (unidade) - porção de referência de....g ou ml</w:t>
            </w: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02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797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  <w:r w:rsidRPr="00191701">
              <w:t>Quantidade por embalagem</w:t>
            </w:r>
          </w:p>
        </w:tc>
        <w:tc>
          <w:tcPr>
            <w:tcW w:w="1601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02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797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01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</w:tbl>
    <w:p w:rsidR="00191701" w:rsidRDefault="00191701" w:rsidP="00191701">
      <w:pPr>
        <w:spacing w:before="0" w:beforeAutospacing="0" w:afterLines="200" w:after="480" w:afterAutospacing="0"/>
        <w:ind w:left="57"/>
        <w:jc w:val="both"/>
        <w:divId w:val="705569890"/>
        <w:rPr>
          <w:b/>
          <w:bCs/>
        </w:rPr>
      </w:pPr>
    </w:p>
    <w:p w:rsidR="00191701" w:rsidRDefault="00191701" w:rsidP="00191701">
      <w:pPr>
        <w:spacing w:before="0" w:beforeAutospacing="0" w:afterLines="200" w:after="480" w:afterAutospacing="0"/>
        <w:ind w:left="57"/>
        <w:jc w:val="both"/>
        <w:divId w:val="705569890"/>
        <w:rPr>
          <w:b/>
          <w:bCs/>
        </w:rPr>
      </w:pPr>
    </w:p>
    <w:p w:rsidR="00B14D88" w:rsidRPr="00191701" w:rsidRDefault="00B14D88" w:rsidP="00191701">
      <w:pPr>
        <w:spacing w:before="0" w:beforeAutospacing="0"/>
        <w:ind w:left="57"/>
        <w:jc w:val="both"/>
        <w:divId w:val="705569890"/>
        <w:rPr>
          <w:b/>
          <w:bCs/>
        </w:rPr>
      </w:pPr>
      <w:r w:rsidRPr="00191701">
        <w:rPr>
          <w:b/>
          <w:bCs/>
        </w:rPr>
        <w:t>5) Conteúdo líquido entre 171% e 200% da porção estabelecida</w:t>
      </w:r>
    </w:p>
    <w:p w:rsidR="00B14D88" w:rsidRPr="00191701" w:rsidRDefault="00B14D88" w:rsidP="00191701">
      <w:pPr>
        <w:spacing w:before="0" w:beforeAutospacing="0"/>
        <w:ind w:left="57"/>
        <w:jc w:val="both"/>
        <w:divId w:val="705569890"/>
      </w:pPr>
      <w:r w:rsidRPr="00191701">
        <w:t>I.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2878"/>
        <w:gridCol w:w="2885"/>
      </w:tblGrid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5000" w:type="pct"/>
            <w:gridSpan w:val="3"/>
            <w:tcBorders>
              <w:bottom w:val="nil"/>
            </w:tcBorders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center"/>
              <w:rPr>
                <w:b/>
                <w:bCs/>
              </w:rPr>
            </w:pPr>
            <w:r w:rsidRPr="00191701">
              <w:rPr>
                <w:b/>
                <w:bCs/>
              </w:rPr>
              <w:t>INFORMAÇÂO NUTRICIONAL</w:t>
            </w:r>
          </w:p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  <w:r w:rsidRPr="00191701">
              <w:rPr>
                <w:b/>
                <w:bCs/>
              </w:rPr>
              <w:t xml:space="preserve">....g ou ml (unidade) – porção de referência de.......g ou ml  </w:t>
            </w: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66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65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  <w:r w:rsidRPr="00191701">
              <w:t>Quantidade por embalagem</w:t>
            </w:r>
          </w:p>
        </w:tc>
        <w:tc>
          <w:tcPr>
            <w:tcW w:w="1669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66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65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69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</w:tbl>
    <w:p w:rsidR="00B14D88" w:rsidRPr="00191701" w:rsidRDefault="00B14D88" w:rsidP="00191701">
      <w:pPr>
        <w:spacing w:before="0" w:beforeAutospacing="0" w:afterLines="200" w:after="480" w:afterAutospacing="0"/>
        <w:ind w:left="57"/>
        <w:jc w:val="both"/>
        <w:divId w:val="705569890"/>
      </w:pPr>
      <w:r w:rsidRPr="00191701">
        <w:t>II.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2878"/>
        <w:gridCol w:w="2885"/>
      </w:tblGrid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5000" w:type="pct"/>
            <w:gridSpan w:val="3"/>
            <w:tcBorders>
              <w:bottom w:val="nil"/>
            </w:tcBorders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center"/>
              <w:rPr>
                <w:b/>
                <w:bCs/>
              </w:rPr>
            </w:pPr>
            <w:r w:rsidRPr="00191701">
              <w:rPr>
                <w:b/>
                <w:bCs/>
              </w:rPr>
              <w:t>INFORMAÇÂO NUTRICIONAL</w:t>
            </w:r>
          </w:p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  <w:r w:rsidRPr="00191701">
              <w:rPr>
                <w:b/>
                <w:bCs/>
              </w:rPr>
              <w:t xml:space="preserve">.....g ou ml (unidade) - 2 porções de referência </w:t>
            </w: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66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65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  <w:r w:rsidRPr="00191701">
              <w:t>Quantidade por embalagem</w:t>
            </w:r>
          </w:p>
        </w:tc>
        <w:tc>
          <w:tcPr>
            <w:tcW w:w="1669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  <w:tr w:rsidR="00B14D88" w:rsidRPr="00191701" w:rsidTr="00191701">
        <w:tblPrEx>
          <w:tblCellMar>
            <w:top w:w="0" w:type="dxa"/>
            <w:bottom w:w="0" w:type="dxa"/>
          </w:tblCellMar>
        </w:tblPrEx>
        <w:trPr>
          <w:divId w:val="705569890"/>
          <w:trHeight w:val="20"/>
          <w:jc w:val="center"/>
        </w:trPr>
        <w:tc>
          <w:tcPr>
            <w:tcW w:w="1666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65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  <w:tc>
          <w:tcPr>
            <w:tcW w:w="1669" w:type="pct"/>
          </w:tcPr>
          <w:p w:rsidR="00B14D88" w:rsidRPr="00191701" w:rsidRDefault="00B14D88" w:rsidP="00191701">
            <w:pPr>
              <w:spacing w:before="0" w:beforeAutospacing="0" w:afterLines="200" w:after="480" w:afterAutospacing="0"/>
              <w:ind w:left="57"/>
              <w:jc w:val="both"/>
            </w:pPr>
          </w:p>
        </w:tc>
      </w:tr>
    </w:tbl>
    <w:p w:rsidR="00B14D88" w:rsidRDefault="00B14D88" w:rsidP="002B42FD">
      <w:pPr>
        <w:pStyle w:val="Corpodetexto2"/>
        <w:spacing w:before="0" w:beforeAutospacing="0" w:afterLines="200" w:after="480" w:afterAutospacing="0" w:line="240" w:lineRule="auto"/>
        <w:ind w:left="57"/>
        <w:divId w:val="705569890"/>
      </w:pPr>
      <w:r w:rsidRPr="00191701">
        <w:t xml:space="preserve">A frase “porção de referência de.... g ou ml” poderá ser colocada embaixo da tabela, referenciada com um símbolo (*, #, etc.). </w:t>
      </w:r>
    </w:p>
    <w:p w:rsidR="002B42FD" w:rsidRPr="00191701" w:rsidRDefault="002B42FD" w:rsidP="002B42FD">
      <w:pPr>
        <w:pStyle w:val="Corpodetexto2"/>
        <w:spacing w:before="0" w:beforeAutospacing="0" w:afterLines="200" w:after="480" w:afterAutospacing="0" w:line="240" w:lineRule="auto"/>
        <w:ind w:left="57"/>
        <w:divId w:val="705569890"/>
      </w:pPr>
    </w:p>
    <w:sectPr w:rsidR="002B42FD" w:rsidRPr="0019170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19A" w:rsidRDefault="009F219A" w:rsidP="00191701">
      <w:pPr>
        <w:spacing w:before="0" w:after="0"/>
      </w:pPr>
      <w:r>
        <w:separator/>
      </w:r>
    </w:p>
  </w:endnote>
  <w:endnote w:type="continuationSeparator" w:id="0">
    <w:p w:rsidR="009F219A" w:rsidRDefault="009F219A" w:rsidP="001917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701" w:rsidRPr="0018049F" w:rsidRDefault="00191701" w:rsidP="00191701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19A" w:rsidRDefault="009F219A" w:rsidP="00191701">
      <w:pPr>
        <w:spacing w:before="0" w:after="0"/>
      </w:pPr>
      <w:r>
        <w:separator/>
      </w:r>
    </w:p>
  </w:footnote>
  <w:footnote w:type="continuationSeparator" w:id="0">
    <w:p w:rsidR="009F219A" w:rsidRDefault="009F219A" w:rsidP="001917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701" w:rsidRPr="0018049F" w:rsidRDefault="009F219A" w:rsidP="0019170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9F219A">
      <w:rPr>
        <w:rFonts w:eastAsia="Times New Roman"/>
        <w:noProof/>
        <w:lang w:eastAsia="pt-BR"/>
      </w:rPr>
      <w:drawing>
        <wp:inline distT="0" distB="0" distL="0" distR="0">
          <wp:extent cx="660400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1701" w:rsidRPr="0018049F" w:rsidRDefault="00191701" w:rsidP="0019170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191701" w:rsidRDefault="00191701" w:rsidP="0019170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191701" w:rsidRDefault="00191701" w:rsidP="0019170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191701"/>
    <w:rsid w:val="002A6BAF"/>
    <w:rsid w:val="002B42FD"/>
    <w:rsid w:val="00524060"/>
    <w:rsid w:val="005D13BD"/>
    <w:rsid w:val="00652E8A"/>
    <w:rsid w:val="00771958"/>
    <w:rsid w:val="008204C5"/>
    <w:rsid w:val="008B7BC0"/>
    <w:rsid w:val="008D770F"/>
    <w:rsid w:val="009D4C4B"/>
    <w:rsid w:val="009F219A"/>
    <w:rsid w:val="009F4005"/>
    <w:rsid w:val="00A53197"/>
    <w:rsid w:val="00A845C8"/>
    <w:rsid w:val="00A910A7"/>
    <w:rsid w:val="00AF43E7"/>
    <w:rsid w:val="00B14D88"/>
    <w:rsid w:val="00C95A0B"/>
    <w:rsid w:val="00DF7C19"/>
    <w:rsid w:val="00E04846"/>
    <w:rsid w:val="00E2552E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1E4DD2-65F0-489A-BF92-246DF37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14D8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B14D88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19170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9170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9170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19170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1701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56989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89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9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</Words>
  <Characters>4370</Characters>
  <Application>Microsoft Office Word</Application>
  <DocSecurity>0</DocSecurity>
  <Lines>36</Lines>
  <Paragraphs>10</Paragraphs>
  <ScaleCrop>false</ScaleCrop>
  <Company>ANVISA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Helder Lopes da Silva</cp:lastModifiedBy>
  <cp:revision>2</cp:revision>
  <cp:lastPrinted>2018-09-14T16:28:00Z</cp:lastPrinted>
  <dcterms:created xsi:type="dcterms:W3CDTF">2019-02-04T14:02:00Z</dcterms:created>
  <dcterms:modified xsi:type="dcterms:W3CDTF">2019-02-04T14:02:00Z</dcterms:modified>
</cp:coreProperties>
</file>