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6D88" w:rsidRPr="007B415B" w:rsidRDefault="00726D88" w:rsidP="00335630">
      <w:pPr>
        <w:spacing w:line="240" w:lineRule="auto"/>
        <w:ind w:left="-426" w:right="-427"/>
        <w:jc w:val="center"/>
        <w:rPr>
          <w:rFonts w:ascii="Times New Roman" w:hAnsi="Times New Roman"/>
          <w:b/>
          <w:sz w:val="23"/>
          <w:szCs w:val="23"/>
        </w:rPr>
      </w:pPr>
      <w:bookmarkStart w:id="0" w:name="_GoBack"/>
      <w:bookmarkEnd w:id="0"/>
      <w:r w:rsidRPr="007B415B">
        <w:rPr>
          <w:rFonts w:ascii="Times New Roman" w:hAnsi="Times New Roman"/>
          <w:b/>
          <w:sz w:val="23"/>
          <w:szCs w:val="23"/>
        </w:rPr>
        <w:t xml:space="preserve">RESOLUÇÃO DE DIRETORIA COLEGIADA - RDC Nº </w:t>
      </w:r>
      <w:r w:rsidR="0003569B" w:rsidRPr="007B415B">
        <w:rPr>
          <w:rFonts w:ascii="Times New Roman" w:hAnsi="Times New Roman"/>
          <w:b/>
          <w:sz w:val="23"/>
          <w:szCs w:val="23"/>
        </w:rPr>
        <w:t>171</w:t>
      </w:r>
      <w:r w:rsidRPr="007B415B">
        <w:rPr>
          <w:rFonts w:ascii="Times New Roman" w:hAnsi="Times New Roman"/>
          <w:b/>
          <w:sz w:val="23"/>
          <w:szCs w:val="23"/>
        </w:rPr>
        <w:t xml:space="preserve">, DE </w:t>
      </w:r>
      <w:r w:rsidR="0003569B" w:rsidRPr="007B415B">
        <w:rPr>
          <w:rFonts w:ascii="Times New Roman" w:hAnsi="Times New Roman"/>
          <w:b/>
          <w:sz w:val="23"/>
          <w:szCs w:val="23"/>
        </w:rPr>
        <w:t xml:space="preserve">22 </w:t>
      </w:r>
      <w:r w:rsidRPr="007B415B">
        <w:rPr>
          <w:rFonts w:ascii="Times New Roman" w:hAnsi="Times New Roman"/>
          <w:b/>
          <w:sz w:val="23"/>
          <w:szCs w:val="23"/>
        </w:rPr>
        <w:t xml:space="preserve">DE </w:t>
      </w:r>
      <w:r w:rsidR="005B3AD0" w:rsidRPr="007B415B">
        <w:rPr>
          <w:rFonts w:ascii="Times New Roman" w:hAnsi="Times New Roman"/>
          <w:b/>
          <w:sz w:val="23"/>
          <w:szCs w:val="23"/>
        </w:rPr>
        <w:t>AGOSTO</w:t>
      </w:r>
      <w:r w:rsidRPr="007B415B">
        <w:rPr>
          <w:rFonts w:ascii="Times New Roman" w:hAnsi="Times New Roman"/>
          <w:b/>
          <w:sz w:val="23"/>
          <w:szCs w:val="23"/>
        </w:rPr>
        <w:t xml:space="preserve"> DE 201</w:t>
      </w:r>
      <w:r w:rsidR="00FB7733" w:rsidRPr="007B415B">
        <w:rPr>
          <w:rFonts w:ascii="Times New Roman" w:hAnsi="Times New Roman"/>
          <w:b/>
          <w:sz w:val="23"/>
          <w:szCs w:val="23"/>
        </w:rPr>
        <w:t>7</w:t>
      </w:r>
    </w:p>
    <w:p w:rsidR="007B415B" w:rsidRPr="007B415B" w:rsidRDefault="007B415B" w:rsidP="007B415B">
      <w:pPr>
        <w:spacing w:line="240" w:lineRule="auto"/>
        <w:jc w:val="center"/>
        <w:rPr>
          <w:rFonts w:ascii="Times New Roman" w:hAnsi="Times New Roman"/>
          <w:b/>
          <w:color w:val="0000FF"/>
          <w:sz w:val="24"/>
          <w:szCs w:val="24"/>
        </w:rPr>
      </w:pPr>
      <w:r w:rsidRPr="007B415B">
        <w:rPr>
          <w:rFonts w:ascii="Times New Roman" w:hAnsi="Times New Roman"/>
          <w:b/>
          <w:color w:val="0000FF"/>
          <w:sz w:val="24"/>
          <w:szCs w:val="24"/>
        </w:rPr>
        <w:t>(Publicada no DOU nº 163, de 24 de agosto de 2017)</w:t>
      </w:r>
    </w:p>
    <w:p w:rsidR="00726D88" w:rsidRPr="007B415B" w:rsidRDefault="00726D88" w:rsidP="00335630">
      <w:pPr>
        <w:pStyle w:val="Default"/>
        <w:spacing w:after="200"/>
        <w:ind w:left="3969"/>
        <w:jc w:val="both"/>
        <w:rPr>
          <w:rFonts w:ascii="Times New Roman" w:hAnsi="Times New Roman" w:cs="Times New Roman"/>
          <w:color w:val="auto"/>
        </w:rPr>
      </w:pPr>
      <w:r w:rsidRPr="007B415B">
        <w:rPr>
          <w:rFonts w:ascii="Times New Roman" w:hAnsi="Times New Roman" w:cs="Times New Roman"/>
          <w:color w:val="auto"/>
        </w:rPr>
        <w:t xml:space="preserve">Revisa a aplicabilidade da </w:t>
      </w:r>
      <w:r w:rsidR="00DE77B6" w:rsidRPr="007B415B">
        <w:rPr>
          <w:rFonts w:ascii="Times New Roman" w:hAnsi="Times New Roman" w:cs="Times New Roman"/>
          <w:color w:val="auto"/>
        </w:rPr>
        <w:t xml:space="preserve">Resolução da Diretoria Colegiada - </w:t>
      </w:r>
      <w:r w:rsidRPr="007B415B">
        <w:rPr>
          <w:rFonts w:ascii="Times New Roman" w:hAnsi="Times New Roman" w:cs="Times New Roman"/>
          <w:color w:val="auto"/>
        </w:rPr>
        <w:t xml:space="preserve">RDC </w:t>
      </w:r>
      <w:r w:rsidR="00DE77B6" w:rsidRPr="007B415B">
        <w:rPr>
          <w:rFonts w:ascii="Times New Roman" w:hAnsi="Times New Roman" w:cs="Times New Roman"/>
          <w:color w:val="auto"/>
        </w:rPr>
        <w:t xml:space="preserve">nº </w:t>
      </w:r>
      <w:r w:rsidRPr="007B415B">
        <w:rPr>
          <w:rFonts w:ascii="Times New Roman" w:hAnsi="Times New Roman" w:cs="Times New Roman"/>
          <w:color w:val="auto"/>
        </w:rPr>
        <w:t>53</w:t>
      </w:r>
      <w:r w:rsidR="00DE77B6" w:rsidRPr="007B415B">
        <w:rPr>
          <w:rFonts w:ascii="Times New Roman" w:hAnsi="Times New Roman" w:cs="Times New Roman"/>
          <w:color w:val="auto"/>
        </w:rPr>
        <w:t xml:space="preserve">, de 4 de dezembro de 2015, </w:t>
      </w:r>
      <w:r w:rsidRPr="007B415B">
        <w:rPr>
          <w:rFonts w:ascii="Times New Roman" w:hAnsi="Times New Roman" w:cs="Times New Roman"/>
          <w:color w:val="auto"/>
        </w:rPr>
        <w:t>para alterações pós-registro e os prazos desta Resolução para produtos já registrados.</w:t>
      </w:r>
    </w:p>
    <w:p w:rsidR="00726D88" w:rsidRPr="007B415B" w:rsidRDefault="00E960D3" w:rsidP="007B415B">
      <w:pPr>
        <w:pStyle w:val="Default"/>
        <w:spacing w:after="200"/>
        <w:ind w:firstLine="567"/>
        <w:jc w:val="both"/>
        <w:rPr>
          <w:rFonts w:ascii="Times New Roman" w:hAnsi="Times New Roman" w:cs="Times New Roman"/>
          <w:color w:val="auto"/>
        </w:rPr>
      </w:pPr>
      <w:r w:rsidRPr="007B415B">
        <w:rPr>
          <w:rFonts w:ascii="Times New Roman" w:hAnsi="Times New Roman" w:cs="Times New Roman"/>
          <w:bCs/>
        </w:rPr>
        <w:t>A Diretoria Colegiada da Agência Nacional de Vigilância Sanitária,</w:t>
      </w:r>
      <w:r w:rsidRPr="007B415B">
        <w:rPr>
          <w:rFonts w:ascii="Times New Roman" w:hAnsi="Times New Roman" w:cs="Times New Roman"/>
        </w:rPr>
        <w:t xml:space="preserve"> no uso da atribuição que lhe confere o art. 15, III e IV aliado ao art. 7º, III, e IV, da Lei nº 9.782, de 26 de janeiro de 1999, e ao art. 53, V, §§ 1º e 3º do Regimento Interno aprovado nos termos do Anexo I da </w:t>
      </w:r>
      <w:r w:rsidRPr="007B415B">
        <w:rPr>
          <w:rFonts w:ascii="Times New Roman" w:hAnsi="Times New Roman" w:cs="Times New Roman"/>
          <w:lang w:eastAsia="pt-BR"/>
        </w:rPr>
        <w:t xml:space="preserve">Resolução da Diretoria Colegiada – </w:t>
      </w:r>
      <w:r w:rsidRPr="007B415B">
        <w:rPr>
          <w:rFonts w:ascii="Times New Roman" w:hAnsi="Times New Roman" w:cs="Times New Roman"/>
        </w:rPr>
        <w:t>RDC n° 61, de 3 de fevereiro de 2016,</w:t>
      </w:r>
      <w:r w:rsidR="00726D88" w:rsidRPr="007B415B">
        <w:rPr>
          <w:rFonts w:ascii="Times New Roman" w:hAnsi="Times New Roman" w:cs="Times New Roman"/>
          <w:color w:val="auto"/>
        </w:rPr>
        <w:t xml:space="preserve"> resolve adotar a seguinte Resolução da Diretoria Colegiada, conforme deliberado em reunião realizada em </w:t>
      </w:r>
      <w:r w:rsidR="003736C2" w:rsidRPr="007B415B">
        <w:rPr>
          <w:rFonts w:ascii="Times New Roman" w:hAnsi="Times New Roman" w:cs="Times New Roman"/>
          <w:color w:val="auto"/>
        </w:rPr>
        <w:t>15</w:t>
      </w:r>
      <w:r w:rsidR="00726D88" w:rsidRPr="007B415B">
        <w:rPr>
          <w:rFonts w:ascii="Times New Roman" w:hAnsi="Times New Roman" w:cs="Times New Roman"/>
          <w:color w:val="auto"/>
        </w:rPr>
        <w:t xml:space="preserve"> de </w:t>
      </w:r>
      <w:r w:rsidR="003736C2" w:rsidRPr="007B415B">
        <w:rPr>
          <w:rFonts w:ascii="Times New Roman" w:hAnsi="Times New Roman" w:cs="Times New Roman"/>
          <w:color w:val="auto"/>
        </w:rPr>
        <w:t>agosto</w:t>
      </w:r>
      <w:r w:rsidR="00726D88" w:rsidRPr="007B415B">
        <w:rPr>
          <w:rFonts w:ascii="Times New Roman" w:hAnsi="Times New Roman" w:cs="Times New Roman"/>
          <w:color w:val="auto"/>
        </w:rPr>
        <w:t xml:space="preserve"> de 201</w:t>
      </w:r>
      <w:r w:rsidR="003736C2" w:rsidRPr="007B415B">
        <w:rPr>
          <w:rFonts w:ascii="Times New Roman" w:hAnsi="Times New Roman" w:cs="Times New Roman"/>
          <w:color w:val="auto"/>
        </w:rPr>
        <w:t>7</w:t>
      </w:r>
      <w:r w:rsidR="00726D88" w:rsidRPr="007B415B">
        <w:rPr>
          <w:rFonts w:ascii="Times New Roman" w:hAnsi="Times New Roman" w:cs="Times New Roman"/>
          <w:color w:val="auto"/>
        </w:rPr>
        <w:t>, e eu, Diretor-Presidente, determino a sua publicação.</w:t>
      </w:r>
    </w:p>
    <w:p w:rsidR="00726D88" w:rsidRPr="007B415B" w:rsidRDefault="00726D88" w:rsidP="007B415B">
      <w:pPr>
        <w:spacing w:line="240" w:lineRule="auto"/>
        <w:ind w:firstLine="567"/>
        <w:jc w:val="both"/>
        <w:rPr>
          <w:rFonts w:ascii="Times New Roman" w:hAnsi="Times New Roman"/>
          <w:sz w:val="24"/>
          <w:szCs w:val="24"/>
        </w:rPr>
      </w:pPr>
      <w:r w:rsidRPr="007B415B">
        <w:rPr>
          <w:rFonts w:ascii="Times New Roman" w:hAnsi="Times New Roman"/>
          <w:sz w:val="24"/>
          <w:szCs w:val="24"/>
        </w:rPr>
        <w:t xml:space="preserve">Art. 1° O </w:t>
      </w:r>
      <w:r w:rsidR="00DE77B6" w:rsidRPr="007B415B">
        <w:rPr>
          <w:rFonts w:ascii="Times New Roman" w:hAnsi="Times New Roman"/>
          <w:sz w:val="24"/>
          <w:szCs w:val="24"/>
        </w:rPr>
        <w:t>a</w:t>
      </w:r>
      <w:r w:rsidRPr="007B415B">
        <w:rPr>
          <w:rFonts w:ascii="Times New Roman" w:hAnsi="Times New Roman"/>
          <w:sz w:val="24"/>
          <w:szCs w:val="24"/>
        </w:rPr>
        <w:t xml:space="preserve">rt. 13 da Resolução </w:t>
      </w:r>
      <w:r w:rsidR="00DE77B6" w:rsidRPr="007B415B">
        <w:rPr>
          <w:rFonts w:ascii="Times New Roman" w:hAnsi="Times New Roman"/>
          <w:sz w:val="24"/>
          <w:szCs w:val="24"/>
        </w:rPr>
        <w:t xml:space="preserve">da Diretoria Colegiada - </w:t>
      </w:r>
      <w:r w:rsidRPr="007B415B">
        <w:rPr>
          <w:rFonts w:ascii="Times New Roman" w:hAnsi="Times New Roman"/>
          <w:sz w:val="24"/>
          <w:szCs w:val="24"/>
        </w:rPr>
        <w:t xml:space="preserve">RDC </w:t>
      </w:r>
      <w:r w:rsidR="0098658D" w:rsidRPr="007B415B">
        <w:rPr>
          <w:rFonts w:ascii="Times New Roman" w:hAnsi="Times New Roman"/>
          <w:sz w:val="24"/>
          <w:szCs w:val="24"/>
        </w:rPr>
        <w:t xml:space="preserve">nº </w:t>
      </w:r>
      <w:r w:rsidRPr="007B415B">
        <w:rPr>
          <w:rFonts w:ascii="Times New Roman" w:hAnsi="Times New Roman"/>
          <w:sz w:val="24"/>
          <w:szCs w:val="24"/>
        </w:rPr>
        <w:t>53, de 2015, passa a vigorar com a seguinte redação:</w:t>
      </w:r>
    </w:p>
    <w:p w:rsidR="0098658D" w:rsidRPr="007B415B" w:rsidRDefault="0098658D" w:rsidP="007B415B">
      <w:pPr>
        <w:spacing w:line="240" w:lineRule="auto"/>
        <w:ind w:firstLine="567"/>
        <w:rPr>
          <w:rFonts w:ascii="Times New Roman" w:hAnsi="Times New Roman"/>
          <w:sz w:val="24"/>
          <w:szCs w:val="24"/>
        </w:rPr>
      </w:pPr>
      <w:r w:rsidRPr="007B415B">
        <w:rPr>
          <w:rFonts w:ascii="Times New Roman" w:hAnsi="Times New Roman"/>
          <w:sz w:val="24"/>
          <w:szCs w:val="24"/>
        </w:rPr>
        <w:t>.............................</w:t>
      </w:r>
    </w:p>
    <w:p w:rsidR="00726D88" w:rsidRDefault="0098658D" w:rsidP="007B415B">
      <w:pPr>
        <w:spacing w:line="240" w:lineRule="auto"/>
        <w:ind w:firstLine="567"/>
        <w:rPr>
          <w:rFonts w:ascii="Times New Roman" w:hAnsi="Times New Roman"/>
          <w:sz w:val="24"/>
          <w:szCs w:val="24"/>
        </w:rPr>
      </w:pPr>
      <w:r w:rsidRPr="007B415B">
        <w:rPr>
          <w:rFonts w:ascii="Times New Roman" w:hAnsi="Times New Roman"/>
          <w:sz w:val="24"/>
          <w:szCs w:val="24"/>
        </w:rPr>
        <w:t>“</w:t>
      </w:r>
      <w:r w:rsidR="00726D88" w:rsidRPr="007B415B">
        <w:rPr>
          <w:rFonts w:ascii="Times New Roman" w:hAnsi="Times New Roman"/>
          <w:sz w:val="24"/>
          <w:szCs w:val="24"/>
        </w:rPr>
        <w:t>Art. 13. O disposto nesta Resolução se aplica às seguintes situações:</w:t>
      </w:r>
    </w:p>
    <w:p w:rsidR="00726D88" w:rsidRPr="007B415B" w:rsidRDefault="00335630" w:rsidP="00335630">
      <w:pPr>
        <w:spacing w:line="240" w:lineRule="auto"/>
        <w:ind w:firstLine="567"/>
        <w:rPr>
          <w:rFonts w:ascii="Times New Roman" w:hAnsi="Times New Roman"/>
          <w:sz w:val="24"/>
          <w:szCs w:val="24"/>
        </w:rPr>
      </w:pPr>
      <w:r>
        <w:rPr>
          <w:rFonts w:ascii="Times New Roman" w:hAnsi="Times New Roman"/>
          <w:sz w:val="24"/>
          <w:szCs w:val="24"/>
        </w:rPr>
        <w:t xml:space="preserve">I. </w:t>
      </w:r>
      <w:r w:rsidR="0098658D" w:rsidRPr="007B415B">
        <w:rPr>
          <w:rFonts w:ascii="Times New Roman" w:hAnsi="Times New Roman"/>
          <w:sz w:val="24"/>
          <w:szCs w:val="24"/>
        </w:rPr>
        <w:t>r</w:t>
      </w:r>
      <w:r w:rsidR="00726D88" w:rsidRPr="007B415B">
        <w:rPr>
          <w:rFonts w:ascii="Times New Roman" w:hAnsi="Times New Roman"/>
          <w:sz w:val="24"/>
          <w:szCs w:val="24"/>
        </w:rPr>
        <w:t>egistro de medicamentos novos, genéricos e similares;</w:t>
      </w:r>
    </w:p>
    <w:p w:rsidR="007F1DD2" w:rsidRPr="007B415B" w:rsidRDefault="00335630" w:rsidP="00335630">
      <w:pPr>
        <w:tabs>
          <w:tab w:val="left" w:pos="0"/>
        </w:tabs>
        <w:autoSpaceDE w:val="0"/>
        <w:autoSpaceDN w:val="0"/>
        <w:adjustRightInd w:val="0"/>
        <w:spacing w:line="240" w:lineRule="auto"/>
        <w:ind w:firstLine="567"/>
        <w:jc w:val="both"/>
        <w:rPr>
          <w:rFonts w:ascii="Times New Roman" w:hAnsi="Times New Roman"/>
          <w:sz w:val="24"/>
          <w:szCs w:val="24"/>
        </w:rPr>
      </w:pPr>
      <w:r>
        <w:rPr>
          <w:rFonts w:ascii="Times New Roman" w:hAnsi="Times New Roman"/>
          <w:sz w:val="24"/>
          <w:szCs w:val="24"/>
        </w:rPr>
        <w:t xml:space="preserve">II. </w:t>
      </w:r>
      <w:r w:rsidR="0098658D" w:rsidRPr="007B415B">
        <w:rPr>
          <w:rFonts w:ascii="Times New Roman" w:hAnsi="Times New Roman"/>
          <w:sz w:val="24"/>
          <w:szCs w:val="24"/>
        </w:rPr>
        <w:t>i</w:t>
      </w:r>
      <w:r w:rsidR="007F1DD2" w:rsidRPr="007B415B">
        <w:rPr>
          <w:rFonts w:ascii="Times New Roman" w:hAnsi="Times New Roman"/>
          <w:sz w:val="24"/>
          <w:szCs w:val="24"/>
        </w:rPr>
        <w:t>nclusão de nova forma farmacêutica;</w:t>
      </w:r>
    </w:p>
    <w:p w:rsidR="00726D88" w:rsidRPr="007B415B" w:rsidRDefault="00335630" w:rsidP="00335630">
      <w:pPr>
        <w:tabs>
          <w:tab w:val="left" w:pos="0"/>
        </w:tabs>
        <w:autoSpaceDE w:val="0"/>
        <w:autoSpaceDN w:val="0"/>
        <w:adjustRightInd w:val="0"/>
        <w:spacing w:line="240" w:lineRule="auto"/>
        <w:ind w:firstLine="567"/>
        <w:jc w:val="both"/>
        <w:rPr>
          <w:rFonts w:ascii="Times New Roman" w:hAnsi="Times New Roman"/>
          <w:sz w:val="24"/>
          <w:szCs w:val="24"/>
        </w:rPr>
      </w:pPr>
      <w:r>
        <w:rPr>
          <w:rFonts w:ascii="Times New Roman" w:hAnsi="Times New Roman"/>
          <w:sz w:val="24"/>
          <w:szCs w:val="24"/>
        </w:rPr>
        <w:t xml:space="preserve">III. </w:t>
      </w:r>
      <w:r w:rsidR="0098658D" w:rsidRPr="007B415B">
        <w:rPr>
          <w:rFonts w:ascii="Times New Roman" w:hAnsi="Times New Roman"/>
          <w:sz w:val="24"/>
          <w:szCs w:val="24"/>
        </w:rPr>
        <w:t>i</w:t>
      </w:r>
      <w:r w:rsidR="00726D88" w:rsidRPr="007B415B">
        <w:rPr>
          <w:rFonts w:ascii="Times New Roman" w:hAnsi="Times New Roman"/>
          <w:sz w:val="24"/>
          <w:szCs w:val="24"/>
        </w:rPr>
        <w:t>nclusão de nova concentração;</w:t>
      </w:r>
    </w:p>
    <w:p w:rsidR="00726D88" w:rsidRPr="007B415B" w:rsidRDefault="00335630" w:rsidP="00335630">
      <w:pPr>
        <w:autoSpaceDE w:val="0"/>
        <w:autoSpaceDN w:val="0"/>
        <w:adjustRightInd w:val="0"/>
        <w:spacing w:line="240" w:lineRule="auto"/>
        <w:ind w:firstLine="567"/>
        <w:jc w:val="both"/>
        <w:rPr>
          <w:rFonts w:ascii="Times New Roman" w:hAnsi="Times New Roman"/>
          <w:sz w:val="24"/>
          <w:szCs w:val="24"/>
        </w:rPr>
      </w:pPr>
      <w:r>
        <w:rPr>
          <w:rFonts w:ascii="Times New Roman" w:hAnsi="Times New Roman"/>
          <w:sz w:val="24"/>
          <w:szCs w:val="24"/>
        </w:rPr>
        <w:t xml:space="preserve">IV. </w:t>
      </w:r>
      <w:r w:rsidR="0098658D" w:rsidRPr="007B415B">
        <w:rPr>
          <w:rFonts w:ascii="Times New Roman" w:hAnsi="Times New Roman"/>
          <w:sz w:val="24"/>
          <w:szCs w:val="24"/>
        </w:rPr>
        <w:t>m</w:t>
      </w:r>
      <w:r w:rsidR="00726D88" w:rsidRPr="007B415B">
        <w:rPr>
          <w:rFonts w:ascii="Times New Roman" w:hAnsi="Times New Roman"/>
          <w:sz w:val="24"/>
          <w:szCs w:val="24"/>
        </w:rPr>
        <w:t>udanças relacionadas ao insumo farmacêutico ativo que não sejam de implementação imediata conforme norma de alterações pós-registro vigente;</w:t>
      </w:r>
    </w:p>
    <w:p w:rsidR="00726D88" w:rsidRPr="007B415B" w:rsidRDefault="00335630" w:rsidP="00335630">
      <w:pPr>
        <w:tabs>
          <w:tab w:val="left" w:pos="0"/>
        </w:tabs>
        <w:autoSpaceDE w:val="0"/>
        <w:autoSpaceDN w:val="0"/>
        <w:adjustRightInd w:val="0"/>
        <w:spacing w:line="240" w:lineRule="auto"/>
        <w:ind w:firstLine="567"/>
        <w:jc w:val="both"/>
        <w:rPr>
          <w:rFonts w:ascii="Times New Roman" w:hAnsi="Times New Roman"/>
          <w:sz w:val="24"/>
          <w:szCs w:val="24"/>
        </w:rPr>
      </w:pPr>
      <w:r>
        <w:rPr>
          <w:rFonts w:ascii="Times New Roman" w:hAnsi="Times New Roman"/>
          <w:sz w:val="24"/>
          <w:szCs w:val="24"/>
        </w:rPr>
        <w:t xml:space="preserve">V. </w:t>
      </w:r>
      <w:r w:rsidR="0098658D" w:rsidRPr="007B415B">
        <w:rPr>
          <w:rFonts w:ascii="Times New Roman" w:hAnsi="Times New Roman"/>
          <w:sz w:val="24"/>
          <w:szCs w:val="24"/>
        </w:rPr>
        <w:t>m</w:t>
      </w:r>
      <w:r w:rsidR="00726D88" w:rsidRPr="007B415B">
        <w:rPr>
          <w:rFonts w:ascii="Times New Roman" w:hAnsi="Times New Roman"/>
          <w:sz w:val="24"/>
          <w:szCs w:val="24"/>
        </w:rPr>
        <w:t>udanças na composição do medicamento que não sejam de implementação imediata conforme norma de alterações pós-registro vigente, exceto mudança maior de sulco;</w:t>
      </w:r>
    </w:p>
    <w:p w:rsidR="00726D88" w:rsidRPr="007B415B" w:rsidRDefault="00335630" w:rsidP="00335630">
      <w:pPr>
        <w:tabs>
          <w:tab w:val="left" w:pos="0"/>
        </w:tabs>
        <w:autoSpaceDE w:val="0"/>
        <w:autoSpaceDN w:val="0"/>
        <w:adjustRightInd w:val="0"/>
        <w:spacing w:line="240" w:lineRule="auto"/>
        <w:ind w:firstLine="567"/>
        <w:jc w:val="both"/>
        <w:rPr>
          <w:rFonts w:ascii="Times New Roman" w:hAnsi="Times New Roman"/>
          <w:sz w:val="24"/>
          <w:szCs w:val="24"/>
        </w:rPr>
      </w:pPr>
      <w:r>
        <w:rPr>
          <w:rFonts w:ascii="Times New Roman" w:hAnsi="Times New Roman"/>
          <w:sz w:val="24"/>
          <w:szCs w:val="24"/>
        </w:rPr>
        <w:t xml:space="preserve">VI. </w:t>
      </w:r>
      <w:r w:rsidR="0098658D" w:rsidRPr="007B415B">
        <w:rPr>
          <w:rFonts w:ascii="Times New Roman" w:hAnsi="Times New Roman"/>
          <w:sz w:val="24"/>
          <w:szCs w:val="24"/>
        </w:rPr>
        <w:t>m</w:t>
      </w:r>
      <w:r w:rsidR="00726D88" w:rsidRPr="007B415B">
        <w:rPr>
          <w:rFonts w:ascii="Times New Roman" w:hAnsi="Times New Roman"/>
          <w:sz w:val="24"/>
          <w:szCs w:val="24"/>
        </w:rPr>
        <w:t>udanças no processo de produção que não sejam de implementação imediata, conforme norma de alterações pós-registro vigente;</w:t>
      </w:r>
    </w:p>
    <w:p w:rsidR="00726D88" w:rsidRPr="007B415B" w:rsidRDefault="00335630" w:rsidP="00335630">
      <w:pPr>
        <w:tabs>
          <w:tab w:val="left" w:pos="0"/>
        </w:tabs>
        <w:autoSpaceDE w:val="0"/>
        <w:autoSpaceDN w:val="0"/>
        <w:adjustRightInd w:val="0"/>
        <w:spacing w:line="240" w:lineRule="auto"/>
        <w:ind w:firstLine="567"/>
        <w:jc w:val="both"/>
        <w:rPr>
          <w:rFonts w:ascii="Times New Roman" w:hAnsi="Times New Roman"/>
          <w:sz w:val="24"/>
          <w:szCs w:val="24"/>
        </w:rPr>
      </w:pPr>
      <w:r>
        <w:rPr>
          <w:rFonts w:ascii="Times New Roman" w:hAnsi="Times New Roman"/>
          <w:sz w:val="24"/>
          <w:szCs w:val="24"/>
        </w:rPr>
        <w:t xml:space="preserve">VII. </w:t>
      </w:r>
      <w:r w:rsidR="0098658D" w:rsidRPr="007B415B">
        <w:rPr>
          <w:rFonts w:ascii="Times New Roman" w:hAnsi="Times New Roman"/>
          <w:sz w:val="24"/>
          <w:szCs w:val="24"/>
        </w:rPr>
        <w:t>m</w:t>
      </w:r>
      <w:r w:rsidR="00726D88" w:rsidRPr="007B415B">
        <w:rPr>
          <w:rFonts w:ascii="Times New Roman" w:hAnsi="Times New Roman"/>
          <w:sz w:val="24"/>
          <w:szCs w:val="24"/>
        </w:rPr>
        <w:t>udanças relacionadas à embalagem do medicamento, ao prazo de validade ou aos cuidados de conservação do medicamento para as quais são solicitados relatório de estudo de estabilidade de longa duração referente a 3 (três) lotes do medicamento;</w:t>
      </w:r>
    </w:p>
    <w:p w:rsidR="00726D88" w:rsidRPr="007B415B" w:rsidRDefault="00335630" w:rsidP="00335630">
      <w:pPr>
        <w:tabs>
          <w:tab w:val="left" w:pos="0"/>
        </w:tabs>
        <w:autoSpaceDE w:val="0"/>
        <w:autoSpaceDN w:val="0"/>
        <w:adjustRightInd w:val="0"/>
        <w:spacing w:line="240" w:lineRule="auto"/>
        <w:ind w:firstLine="567"/>
        <w:jc w:val="both"/>
        <w:rPr>
          <w:rFonts w:ascii="Times New Roman" w:hAnsi="Times New Roman"/>
          <w:sz w:val="24"/>
          <w:szCs w:val="24"/>
        </w:rPr>
      </w:pPr>
      <w:r>
        <w:rPr>
          <w:rFonts w:ascii="Times New Roman" w:hAnsi="Times New Roman"/>
          <w:sz w:val="24"/>
          <w:szCs w:val="24"/>
        </w:rPr>
        <w:t xml:space="preserve">VIII. </w:t>
      </w:r>
      <w:r w:rsidR="0098658D" w:rsidRPr="007B415B">
        <w:rPr>
          <w:rFonts w:ascii="Times New Roman" w:hAnsi="Times New Roman"/>
          <w:sz w:val="24"/>
          <w:szCs w:val="24"/>
        </w:rPr>
        <w:t>m</w:t>
      </w:r>
      <w:r w:rsidR="00726D88" w:rsidRPr="007B415B">
        <w:rPr>
          <w:rFonts w:ascii="Times New Roman" w:hAnsi="Times New Roman"/>
          <w:sz w:val="24"/>
          <w:szCs w:val="24"/>
        </w:rPr>
        <w:t>udanças relacionadas ao método analítico de controle de qualidade ou estabilidade para testes de teor ou produtos de degradação do medicamento, que não sejam de implementação imediata, conforme norma de alterações pós-registro vigente.</w:t>
      </w:r>
    </w:p>
    <w:p w:rsidR="00726D88" w:rsidRPr="007B415B" w:rsidRDefault="00726D88" w:rsidP="007B415B">
      <w:pPr>
        <w:tabs>
          <w:tab w:val="left" w:pos="0"/>
        </w:tabs>
        <w:spacing w:line="240" w:lineRule="auto"/>
        <w:ind w:firstLine="567"/>
        <w:rPr>
          <w:rFonts w:ascii="Times New Roman" w:hAnsi="Times New Roman"/>
          <w:sz w:val="24"/>
          <w:szCs w:val="24"/>
        </w:rPr>
      </w:pPr>
    </w:p>
    <w:p w:rsidR="00726D88" w:rsidRPr="007B415B" w:rsidRDefault="0098658D" w:rsidP="007B415B">
      <w:pPr>
        <w:tabs>
          <w:tab w:val="left" w:pos="0"/>
        </w:tabs>
        <w:spacing w:line="240" w:lineRule="auto"/>
        <w:ind w:firstLine="567"/>
        <w:rPr>
          <w:rFonts w:ascii="Times New Roman" w:hAnsi="Times New Roman"/>
          <w:sz w:val="24"/>
          <w:szCs w:val="24"/>
        </w:rPr>
      </w:pPr>
      <w:r w:rsidRPr="007B415B">
        <w:rPr>
          <w:rFonts w:ascii="Times New Roman" w:hAnsi="Times New Roman"/>
          <w:sz w:val="24"/>
          <w:szCs w:val="24"/>
        </w:rPr>
        <w:lastRenderedPageBreak/>
        <w:t>Parágrafo único.</w:t>
      </w:r>
      <w:r w:rsidR="00726D88" w:rsidRPr="007B415B">
        <w:rPr>
          <w:rFonts w:ascii="Times New Roman" w:hAnsi="Times New Roman"/>
          <w:sz w:val="24"/>
          <w:szCs w:val="24"/>
        </w:rPr>
        <w:t xml:space="preserve"> Para o inciso V</w:t>
      </w:r>
      <w:r w:rsidR="007F1DD2" w:rsidRPr="007B415B">
        <w:rPr>
          <w:rFonts w:ascii="Times New Roman" w:hAnsi="Times New Roman"/>
          <w:sz w:val="24"/>
          <w:szCs w:val="24"/>
        </w:rPr>
        <w:t>I</w:t>
      </w:r>
      <w:r w:rsidR="00726D88" w:rsidRPr="007B415B">
        <w:rPr>
          <w:rFonts w:ascii="Times New Roman" w:hAnsi="Times New Roman"/>
          <w:sz w:val="24"/>
          <w:szCs w:val="24"/>
        </w:rPr>
        <w:t xml:space="preserve">II aplica-se apenas o disposto nos </w:t>
      </w:r>
      <w:r w:rsidRPr="007B415B">
        <w:rPr>
          <w:rFonts w:ascii="Times New Roman" w:hAnsi="Times New Roman"/>
          <w:sz w:val="24"/>
          <w:szCs w:val="24"/>
        </w:rPr>
        <w:t>a</w:t>
      </w:r>
      <w:r w:rsidR="00726D88" w:rsidRPr="007B415B">
        <w:rPr>
          <w:rFonts w:ascii="Times New Roman" w:hAnsi="Times New Roman"/>
          <w:sz w:val="24"/>
          <w:szCs w:val="24"/>
        </w:rPr>
        <w:t>rt</w:t>
      </w:r>
      <w:r w:rsidRPr="007B415B">
        <w:rPr>
          <w:rFonts w:ascii="Times New Roman" w:hAnsi="Times New Roman"/>
          <w:sz w:val="24"/>
          <w:szCs w:val="24"/>
        </w:rPr>
        <w:t>s</w:t>
      </w:r>
      <w:r w:rsidR="00726D88" w:rsidRPr="007B415B">
        <w:rPr>
          <w:rFonts w:ascii="Times New Roman" w:hAnsi="Times New Roman"/>
          <w:sz w:val="24"/>
          <w:szCs w:val="24"/>
        </w:rPr>
        <w:t>. 3°, 4°, 5°, 6°, 7° e 8° desta Resolução</w:t>
      </w:r>
      <w:r w:rsidR="002D6789" w:rsidRPr="007B415B">
        <w:rPr>
          <w:rFonts w:ascii="Times New Roman" w:hAnsi="Times New Roman"/>
          <w:sz w:val="24"/>
          <w:szCs w:val="24"/>
        </w:rPr>
        <w:t>”</w:t>
      </w:r>
      <w:r w:rsidR="00726D88" w:rsidRPr="007B415B">
        <w:rPr>
          <w:rFonts w:ascii="Times New Roman" w:hAnsi="Times New Roman"/>
          <w:sz w:val="24"/>
          <w:szCs w:val="24"/>
        </w:rPr>
        <w:t>. (NR)</w:t>
      </w:r>
    </w:p>
    <w:p w:rsidR="00726D88" w:rsidRPr="007B415B" w:rsidRDefault="00726D88" w:rsidP="007B415B">
      <w:pPr>
        <w:tabs>
          <w:tab w:val="left" w:pos="0"/>
        </w:tabs>
        <w:spacing w:line="240" w:lineRule="auto"/>
        <w:ind w:firstLine="567"/>
        <w:jc w:val="both"/>
        <w:rPr>
          <w:rFonts w:ascii="Times New Roman" w:hAnsi="Times New Roman"/>
          <w:sz w:val="24"/>
          <w:szCs w:val="24"/>
        </w:rPr>
      </w:pPr>
      <w:r w:rsidRPr="007B415B">
        <w:rPr>
          <w:rFonts w:ascii="Times New Roman" w:hAnsi="Times New Roman"/>
          <w:sz w:val="24"/>
          <w:szCs w:val="24"/>
        </w:rPr>
        <w:t xml:space="preserve">Art. 2° O </w:t>
      </w:r>
      <w:r w:rsidR="0098658D" w:rsidRPr="007B415B">
        <w:rPr>
          <w:rFonts w:ascii="Times New Roman" w:hAnsi="Times New Roman"/>
          <w:sz w:val="24"/>
          <w:szCs w:val="24"/>
        </w:rPr>
        <w:t>a</w:t>
      </w:r>
      <w:r w:rsidRPr="007B415B">
        <w:rPr>
          <w:rFonts w:ascii="Times New Roman" w:hAnsi="Times New Roman"/>
          <w:sz w:val="24"/>
          <w:szCs w:val="24"/>
        </w:rPr>
        <w:t xml:space="preserve">rt. 14 da Resolução </w:t>
      </w:r>
      <w:r w:rsidR="0098658D" w:rsidRPr="007B415B">
        <w:rPr>
          <w:rFonts w:ascii="Times New Roman" w:hAnsi="Times New Roman"/>
          <w:sz w:val="24"/>
          <w:szCs w:val="24"/>
        </w:rPr>
        <w:t xml:space="preserve">da Diretoria Colegiada - </w:t>
      </w:r>
      <w:r w:rsidRPr="007B415B">
        <w:rPr>
          <w:rFonts w:ascii="Times New Roman" w:hAnsi="Times New Roman"/>
          <w:sz w:val="24"/>
          <w:szCs w:val="24"/>
        </w:rPr>
        <w:t xml:space="preserve">RDC </w:t>
      </w:r>
      <w:r w:rsidR="0098658D" w:rsidRPr="007B415B">
        <w:rPr>
          <w:rFonts w:ascii="Times New Roman" w:hAnsi="Times New Roman"/>
          <w:sz w:val="24"/>
          <w:szCs w:val="24"/>
        </w:rPr>
        <w:t xml:space="preserve">nº </w:t>
      </w:r>
      <w:r w:rsidRPr="007B415B">
        <w:rPr>
          <w:rFonts w:ascii="Times New Roman" w:hAnsi="Times New Roman"/>
          <w:sz w:val="24"/>
          <w:szCs w:val="24"/>
        </w:rPr>
        <w:t>53, de 2015, e seus parágrafos passam a vigorar com a seguinte redação:</w:t>
      </w:r>
    </w:p>
    <w:p w:rsidR="00726D88" w:rsidRPr="007B415B" w:rsidRDefault="002D6789" w:rsidP="00335630">
      <w:pPr>
        <w:tabs>
          <w:tab w:val="left" w:pos="0"/>
        </w:tabs>
        <w:spacing w:line="240" w:lineRule="auto"/>
        <w:ind w:firstLine="567"/>
        <w:jc w:val="both"/>
        <w:rPr>
          <w:rFonts w:ascii="Times New Roman" w:hAnsi="Times New Roman"/>
          <w:sz w:val="24"/>
          <w:szCs w:val="24"/>
        </w:rPr>
      </w:pPr>
      <w:r w:rsidRPr="007B415B">
        <w:rPr>
          <w:rFonts w:ascii="Times New Roman" w:hAnsi="Times New Roman"/>
          <w:sz w:val="24"/>
          <w:szCs w:val="24"/>
        </w:rPr>
        <w:t>“</w:t>
      </w:r>
      <w:r w:rsidR="00726D88" w:rsidRPr="007B415B">
        <w:rPr>
          <w:rFonts w:ascii="Times New Roman" w:hAnsi="Times New Roman"/>
          <w:sz w:val="24"/>
          <w:szCs w:val="24"/>
        </w:rPr>
        <w:t>Art. 14. Esta Resolução entra em vigor em 23 de dezembro de 2015 para todos os protocolos de registro</w:t>
      </w:r>
      <w:r w:rsidR="0003187C" w:rsidRPr="007B415B">
        <w:rPr>
          <w:rFonts w:ascii="Times New Roman" w:hAnsi="Times New Roman"/>
          <w:sz w:val="24"/>
          <w:szCs w:val="24"/>
        </w:rPr>
        <w:t>, inclusão de nova forma farmacêutica</w:t>
      </w:r>
      <w:r w:rsidR="00726D88" w:rsidRPr="007B415B">
        <w:rPr>
          <w:rFonts w:ascii="Times New Roman" w:hAnsi="Times New Roman"/>
          <w:sz w:val="24"/>
          <w:szCs w:val="24"/>
        </w:rPr>
        <w:t xml:space="preserve"> ou inclusão de nova concentração.</w:t>
      </w:r>
    </w:p>
    <w:p w:rsidR="00726D88" w:rsidRPr="007B415B" w:rsidRDefault="00D67A13" w:rsidP="00335630">
      <w:pPr>
        <w:tabs>
          <w:tab w:val="left" w:pos="0"/>
        </w:tabs>
        <w:spacing w:line="240" w:lineRule="auto"/>
        <w:ind w:firstLine="567"/>
        <w:jc w:val="both"/>
        <w:rPr>
          <w:rFonts w:ascii="Times New Roman" w:hAnsi="Times New Roman"/>
          <w:sz w:val="24"/>
          <w:szCs w:val="24"/>
        </w:rPr>
      </w:pPr>
      <w:r w:rsidRPr="007B415B">
        <w:rPr>
          <w:rFonts w:ascii="Times New Roman" w:hAnsi="Times New Roman"/>
          <w:sz w:val="24"/>
          <w:szCs w:val="24"/>
        </w:rPr>
        <w:t xml:space="preserve">Parágrafo único </w:t>
      </w:r>
      <w:r w:rsidR="0077367E" w:rsidRPr="007B415B">
        <w:rPr>
          <w:rFonts w:ascii="Times New Roman" w:hAnsi="Times New Roman"/>
          <w:sz w:val="24"/>
          <w:szCs w:val="24"/>
        </w:rPr>
        <w:t>Os pedidos de registro,</w:t>
      </w:r>
      <w:r w:rsidR="0003187C" w:rsidRPr="007B415B">
        <w:rPr>
          <w:rFonts w:ascii="Times New Roman" w:hAnsi="Times New Roman"/>
          <w:sz w:val="24"/>
          <w:szCs w:val="24"/>
        </w:rPr>
        <w:t xml:space="preserve"> inclusão de nova forma farmacêutica e</w:t>
      </w:r>
      <w:r w:rsidR="0077367E" w:rsidRPr="007B415B">
        <w:rPr>
          <w:rFonts w:ascii="Times New Roman" w:hAnsi="Times New Roman"/>
          <w:sz w:val="24"/>
          <w:szCs w:val="24"/>
        </w:rPr>
        <w:t xml:space="preserve"> inclusão de nova concentração apresentados à ANVISA antes da entrada em vigor desta Resolução</w:t>
      </w:r>
      <w:r w:rsidR="00726D88" w:rsidRPr="007B415B">
        <w:rPr>
          <w:rFonts w:ascii="Times New Roman" w:hAnsi="Times New Roman"/>
          <w:sz w:val="24"/>
          <w:szCs w:val="24"/>
        </w:rPr>
        <w:t xml:space="preserve"> serão analisados à luz da norma vigente na data do protocolo</w:t>
      </w:r>
      <w:r w:rsidR="002D6789" w:rsidRPr="007B415B">
        <w:rPr>
          <w:rFonts w:ascii="Times New Roman" w:hAnsi="Times New Roman"/>
          <w:sz w:val="24"/>
          <w:szCs w:val="24"/>
        </w:rPr>
        <w:t>”</w:t>
      </w:r>
      <w:r w:rsidR="00726D88" w:rsidRPr="007B415B">
        <w:rPr>
          <w:rFonts w:ascii="Times New Roman" w:hAnsi="Times New Roman"/>
          <w:sz w:val="24"/>
          <w:szCs w:val="24"/>
        </w:rPr>
        <w:t xml:space="preserve">. </w:t>
      </w:r>
      <w:r w:rsidR="00CD1F02" w:rsidRPr="007B415B">
        <w:rPr>
          <w:rFonts w:ascii="Times New Roman" w:hAnsi="Times New Roman"/>
          <w:sz w:val="24"/>
          <w:szCs w:val="24"/>
        </w:rPr>
        <w:t xml:space="preserve"> </w:t>
      </w:r>
      <w:r w:rsidR="00726D88" w:rsidRPr="007B415B">
        <w:rPr>
          <w:rFonts w:ascii="Times New Roman" w:hAnsi="Times New Roman"/>
          <w:sz w:val="24"/>
          <w:szCs w:val="24"/>
        </w:rPr>
        <w:t>(NR)</w:t>
      </w:r>
    </w:p>
    <w:p w:rsidR="00726D88" w:rsidRPr="007B415B" w:rsidRDefault="00726D88" w:rsidP="007B415B">
      <w:pPr>
        <w:tabs>
          <w:tab w:val="left" w:pos="0"/>
        </w:tabs>
        <w:spacing w:line="240" w:lineRule="auto"/>
        <w:ind w:firstLine="567"/>
        <w:jc w:val="both"/>
        <w:rPr>
          <w:rFonts w:ascii="Times New Roman" w:hAnsi="Times New Roman"/>
          <w:sz w:val="24"/>
          <w:szCs w:val="24"/>
        </w:rPr>
      </w:pPr>
      <w:r w:rsidRPr="007B415B">
        <w:rPr>
          <w:rFonts w:ascii="Times New Roman" w:hAnsi="Times New Roman"/>
          <w:sz w:val="24"/>
          <w:szCs w:val="24"/>
        </w:rPr>
        <w:t xml:space="preserve">Art. 3° O </w:t>
      </w:r>
      <w:r w:rsidR="0098658D" w:rsidRPr="007B415B">
        <w:rPr>
          <w:rFonts w:ascii="Times New Roman" w:hAnsi="Times New Roman"/>
          <w:sz w:val="24"/>
          <w:szCs w:val="24"/>
        </w:rPr>
        <w:t>a</w:t>
      </w:r>
      <w:r w:rsidRPr="007B415B">
        <w:rPr>
          <w:rFonts w:ascii="Times New Roman" w:hAnsi="Times New Roman"/>
          <w:sz w:val="24"/>
          <w:szCs w:val="24"/>
        </w:rPr>
        <w:t xml:space="preserve">rt. 15 da Resolução </w:t>
      </w:r>
      <w:r w:rsidR="0098658D" w:rsidRPr="007B415B">
        <w:rPr>
          <w:rFonts w:ascii="Times New Roman" w:hAnsi="Times New Roman"/>
          <w:sz w:val="24"/>
          <w:szCs w:val="24"/>
        </w:rPr>
        <w:t xml:space="preserve">da Diretoria Colegiada - </w:t>
      </w:r>
      <w:r w:rsidRPr="007B415B">
        <w:rPr>
          <w:rFonts w:ascii="Times New Roman" w:hAnsi="Times New Roman"/>
          <w:sz w:val="24"/>
          <w:szCs w:val="24"/>
        </w:rPr>
        <w:t xml:space="preserve">RDC </w:t>
      </w:r>
      <w:r w:rsidR="0098658D" w:rsidRPr="007B415B">
        <w:rPr>
          <w:rFonts w:ascii="Times New Roman" w:hAnsi="Times New Roman"/>
          <w:sz w:val="24"/>
          <w:szCs w:val="24"/>
        </w:rPr>
        <w:t xml:space="preserve">nº </w:t>
      </w:r>
      <w:r w:rsidRPr="007B415B">
        <w:rPr>
          <w:rFonts w:ascii="Times New Roman" w:hAnsi="Times New Roman"/>
          <w:sz w:val="24"/>
          <w:szCs w:val="24"/>
        </w:rPr>
        <w:t>53, de 2015</w:t>
      </w:r>
      <w:r w:rsidR="00240FF0" w:rsidRPr="007B415B">
        <w:rPr>
          <w:rFonts w:ascii="Times New Roman" w:hAnsi="Times New Roman"/>
          <w:sz w:val="24"/>
          <w:szCs w:val="24"/>
        </w:rPr>
        <w:t>,</w:t>
      </w:r>
      <w:r w:rsidRPr="007B415B">
        <w:rPr>
          <w:rFonts w:ascii="Times New Roman" w:hAnsi="Times New Roman"/>
          <w:sz w:val="24"/>
          <w:szCs w:val="24"/>
        </w:rPr>
        <w:t xml:space="preserve"> passa a vigorar com a seguinte redação:</w:t>
      </w:r>
    </w:p>
    <w:p w:rsidR="00726D88" w:rsidRPr="007B415B" w:rsidRDefault="002D6789" w:rsidP="00335630">
      <w:pPr>
        <w:tabs>
          <w:tab w:val="left" w:pos="0"/>
        </w:tabs>
        <w:spacing w:line="240" w:lineRule="auto"/>
        <w:ind w:firstLine="567"/>
        <w:jc w:val="both"/>
        <w:rPr>
          <w:rFonts w:ascii="Times New Roman" w:hAnsi="Times New Roman"/>
          <w:sz w:val="24"/>
          <w:szCs w:val="24"/>
        </w:rPr>
      </w:pPr>
      <w:r w:rsidRPr="007B415B">
        <w:rPr>
          <w:rFonts w:ascii="Times New Roman" w:hAnsi="Times New Roman"/>
          <w:sz w:val="24"/>
          <w:szCs w:val="24"/>
        </w:rPr>
        <w:t>“</w:t>
      </w:r>
      <w:r w:rsidR="00726D88" w:rsidRPr="007B415B">
        <w:rPr>
          <w:rFonts w:ascii="Times New Roman" w:hAnsi="Times New Roman"/>
          <w:sz w:val="24"/>
          <w:szCs w:val="24"/>
        </w:rPr>
        <w:t xml:space="preserve">Art. 15 </w:t>
      </w:r>
      <w:r w:rsidR="00A008F2" w:rsidRPr="007B415B">
        <w:rPr>
          <w:rFonts w:ascii="Times New Roman" w:hAnsi="Times New Roman"/>
          <w:sz w:val="24"/>
          <w:szCs w:val="24"/>
        </w:rPr>
        <w:t xml:space="preserve">Esta Resolução entra em vigor de forma </w:t>
      </w:r>
      <w:r w:rsidR="004D0AAF" w:rsidRPr="007B415B">
        <w:rPr>
          <w:rFonts w:ascii="Times New Roman" w:hAnsi="Times New Roman"/>
          <w:sz w:val="24"/>
          <w:szCs w:val="24"/>
        </w:rPr>
        <w:t xml:space="preserve">escalonada para os </w:t>
      </w:r>
      <w:r w:rsidR="00D67A13" w:rsidRPr="007B415B">
        <w:rPr>
          <w:rFonts w:ascii="Times New Roman" w:hAnsi="Times New Roman"/>
          <w:sz w:val="24"/>
          <w:szCs w:val="24"/>
        </w:rPr>
        <w:t>medicamentos</w:t>
      </w:r>
      <w:r w:rsidR="004D0AAF" w:rsidRPr="007B415B">
        <w:rPr>
          <w:rFonts w:ascii="Times New Roman" w:hAnsi="Times New Roman"/>
          <w:sz w:val="24"/>
          <w:szCs w:val="24"/>
        </w:rPr>
        <w:t xml:space="preserve"> já registrados</w:t>
      </w:r>
      <w:r w:rsidR="00044F9A" w:rsidRPr="007B415B">
        <w:rPr>
          <w:rFonts w:ascii="Times New Roman" w:hAnsi="Times New Roman"/>
          <w:sz w:val="24"/>
          <w:szCs w:val="24"/>
        </w:rPr>
        <w:t>.</w:t>
      </w:r>
    </w:p>
    <w:p w:rsidR="00726D88" w:rsidRPr="007B415B" w:rsidRDefault="00726D88" w:rsidP="00335630">
      <w:pPr>
        <w:tabs>
          <w:tab w:val="left" w:pos="0"/>
        </w:tabs>
        <w:spacing w:line="240" w:lineRule="auto"/>
        <w:ind w:firstLine="567"/>
        <w:jc w:val="both"/>
        <w:rPr>
          <w:rFonts w:ascii="Times New Roman" w:hAnsi="Times New Roman"/>
          <w:sz w:val="24"/>
          <w:szCs w:val="24"/>
        </w:rPr>
      </w:pPr>
      <w:r w:rsidRPr="007B415B">
        <w:rPr>
          <w:rFonts w:ascii="Times New Roman" w:hAnsi="Times New Roman"/>
          <w:sz w:val="24"/>
          <w:szCs w:val="24"/>
        </w:rPr>
        <w:t xml:space="preserve">§ 1° Para medicamentos já registrados com as classificações listadas no Anexo I, esta Resolução entra em vigor em de 31 de dezembro de 2017. </w:t>
      </w:r>
    </w:p>
    <w:p w:rsidR="00726D88" w:rsidRPr="007B415B" w:rsidRDefault="00726D88" w:rsidP="00335630">
      <w:pPr>
        <w:tabs>
          <w:tab w:val="left" w:pos="0"/>
        </w:tabs>
        <w:spacing w:line="240" w:lineRule="auto"/>
        <w:ind w:firstLine="567"/>
        <w:jc w:val="both"/>
        <w:rPr>
          <w:rFonts w:ascii="Times New Roman" w:hAnsi="Times New Roman"/>
          <w:sz w:val="24"/>
          <w:szCs w:val="24"/>
        </w:rPr>
      </w:pPr>
      <w:r w:rsidRPr="007B415B">
        <w:rPr>
          <w:rFonts w:ascii="Times New Roman" w:hAnsi="Times New Roman"/>
          <w:sz w:val="24"/>
          <w:szCs w:val="24"/>
        </w:rPr>
        <w:t xml:space="preserve">§ 2° Para medicamentos já registrados com as classificações listadas no Anexo II, esta Resolução entra em vigor em 31 de dezembro de 2019. </w:t>
      </w:r>
    </w:p>
    <w:p w:rsidR="00726D88" w:rsidRPr="007B415B" w:rsidRDefault="00726D88" w:rsidP="00335630">
      <w:pPr>
        <w:tabs>
          <w:tab w:val="left" w:pos="0"/>
        </w:tabs>
        <w:spacing w:line="240" w:lineRule="auto"/>
        <w:ind w:firstLine="567"/>
        <w:jc w:val="both"/>
        <w:rPr>
          <w:rFonts w:ascii="Times New Roman" w:hAnsi="Times New Roman"/>
          <w:sz w:val="24"/>
          <w:szCs w:val="24"/>
        </w:rPr>
      </w:pPr>
      <w:r w:rsidRPr="007B415B">
        <w:rPr>
          <w:rFonts w:ascii="Times New Roman" w:hAnsi="Times New Roman"/>
          <w:sz w:val="24"/>
          <w:szCs w:val="24"/>
        </w:rPr>
        <w:t xml:space="preserve">§ 3° Para os demais medicamentos já registrados, esta Resolução entra em vigor em 31 de dezembro de 2020. </w:t>
      </w:r>
    </w:p>
    <w:p w:rsidR="00726D88" w:rsidRPr="007B415B" w:rsidRDefault="00726D88" w:rsidP="00335630">
      <w:pPr>
        <w:tabs>
          <w:tab w:val="left" w:pos="0"/>
        </w:tabs>
        <w:spacing w:line="240" w:lineRule="auto"/>
        <w:ind w:firstLine="567"/>
        <w:jc w:val="both"/>
        <w:rPr>
          <w:rFonts w:ascii="Times New Roman" w:hAnsi="Times New Roman"/>
          <w:sz w:val="24"/>
          <w:szCs w:val="24"/>
        </w:rPr>
      </w:pPr>
      <w:r w:rsidRPr="007B415B">
        <w:rPr>
          <w:rFonts w:ascii="Times New Roman" w:hAnsi="Times New Roman"/>
          <w:sz w:val="24"/>
          <w:szCs w:val="24"/>
        </w:rPr>
        <w:t xml:space="preserve">§ 4° </w:t>
      </w:r>
      <w:r w:rsidR="00A008F2" w:rsidRPr="007B415B">
        <w:rPr>
          <w:rFonts w:ascii="Times New Roman" w:hAnsi="Times New Roman"/>
          <w:sz w:val="24"/>
          <w:szCs w:val="24"/>
        </w:rPr>
        <w:t xml:space="preserve">Os pedidos de mudanças pós-registro apresentados à ANVISA </w:t>
      </w:r>
      <w:r w:rsidRPr="007B415B">
        <w:rPr>
          <w:rFonts w:ascii="Times New Roman" w:hAnsi="Times New Roman"/>
          <w:sz w:val="24"/>
          <w:szCs w:val="24"/>
        </w:rPr>
        <w:t>até os prazos estipulados nos §§ 1°, 2° e 3° serão analisados à luz da norma vigente na data do protocolo.</w:t>
      </w:r>
    </w:p>
    <w:p w:rsidR="00726D88" w:rsidRPr="007B415B" w:rsidRDefault="00726D88" w:rsidP="00335630">
      <w:pPr>
        <w:tabs>
          <w:tab w:val="left" w:pos="0"/>
        </w:tabs>
        <w:spacing w:line="240" w:lineRule="auto"/>
        <w:ind w:firstLine="567"/>
        <w:jc w:val="both"/>
        <w:rPr>
          <w:rFonts w:ascii="Times New Roman" w:hAnsi="Times New Roman"/>
          <w:sz w:val="24"/>
          <w:szCs w:val="24"/>
        </w:rPr>
      </w:pPr>
      <w:r w:rsidRPr="007B415B">
        <w:rPr>
          <w:rFonts w:ascii="Times New Roman" w:hAnsi="Times New Roman"/>
          <w:sz w:val="24"/>
          <w:szCs w:val="24"/>
        </w:rPr>
        <w:t>§ 5° Medicamentos já registrados que não protocolarem as mudanças pós-registro listadas nos incisos I</w:t>
      </w:r>
      <w:r w:rsidR="00A008F2" w:rsidRPr="007B415B">
        <w:rPr>
          <w:rFonts w:ascii="Times New Roman" w:hAnsi="Times New Roman"/>
          <w:sz w:val="24"/>
          <w:szCs w:val="24"/>
        </w:rPr>
        <w:t>V</w:t>
      </w:r>
      <w:r w:rsidRPr="007B415B">
        <w:rPr>
          <w:rFonts w:ascii="Times New Roman" w:hAnsi="Times New Roman"/>
          <w:sz w:val="24"/>
          <w:szCs w:val="24"/>
        </w:rPr>
        <w:t xml:space="preserve"> a VII</w:t>
      </w:r>
      <w:r w:rsidR="00A008F2" w:rsidRPr="007B415B">
        <w:rPr>
          <w:rFonts w:ascii="Times New Roman" w:hAnsi="Times New Roman"/>
          <w:sz w:val="24"/>
          <w:szCs w:val="24"/>
        </w:rPr>
        <w:t>I</w:t>
      </w:r>
      <w:r w:rsidRPr="007B415B">
        <w:rPr>
          <w:rFonts w:ascii="Times New Roman" w:hAnsi="Times New Roman"/>
          <w:sz w:val="24"/>
          <w:szCs w:val="24"/>
        </w:rPr>
        <w:t xml:space="preserve"> do </w:t>
      </w:r>
      <w:r w:rsidR="007316BB" w:rsidRPr="007B415B">
        <w:rPr>
          <w:rFonts w:ascii="Times New Roman" w:hAnsi="Times New Roman"/>
          <w:sz w:val="24"/>
          <w:szCs w:val="24"/>
        </w:rPr>
        <w:t>a</w:t>
      </w:r>
      <w:r w:rsidRPr="007B415B">
        <w:rPr>
          <w:rFonts w:ascii="Times New Roman" w:hAnsi="Times New Roman"/>
          <w:sz w:val="24"/>
          <w:szCs w:val="24"/>
        </w:rPr>
        <w:t>rt. 13 desta Resolução precisarão se adequar a esta Resolução caso seja feita solicitação pela Anvisa, nos termos do Art. 12</w:t>
      </w:r>
      <w:r w:rsidR="002D6789" w:rsidRPr="007B415B">
        <w:rPr>
          <w:rFonts w:ascii="Times New Roman" w:hAnsi="Times New Roman"/>
          <w:sz w:val="24"/>
          <w:szCs w:val="24"/>
        </w:rPr>
        <w:t>”</w:t>
      </w:r>
      <w:r w:rsidRPr="007B415B">
        <w:rPr>
          <w:rFonts w:ascii="Times New Roman" w:hAnsi="Times New Roman"/>
          <w:sz w:val="24"/>
          <w:szCs w:val="24"/>
        </w:rPr>
        <w:t>.  (NR)</w:t>
      </w:r>
    </w:p>
    <w:p w:rsidR="00726D88" w:rsidRPr="007B415B" w:rsidRDefault="00726D88" w:rsidP="007B415B">
      <w:pPr>
        <w:tabs>
          <w:tab w:val="left" w:pos="0"/>
        </w:tabs>
        <w:spacing w:line="240" w:lineRule="auto"/>
        <w:ind w:firstLine="567"/>
        <w:jc w:val="both"/>
        <w:rPr>
          <w:rFonts w:ascii="Times New Roman" w:hAnsi="Times New Roman"/>
          <w:sz w:val="24"/>
          <w:szCs w:val="24"/>
        </w:rPr>
      </w:pPr>
      <w:r w:rsidRPr="007B415B">
        <w:rPr>
          <w:rFonts w:ascii="Times New Roman" w:hAnsi="Times New Roman"/>
          <w:sz w:val="24"/>
          <w:szCs w:val="24"/>
        </w:rPr>
        <w:t>Art. 4° Esta Resolução entra em vigor na data da sua publicação.</w:t>
      </w:r>
    </w:p>
    <w:p w:rsidR="005B3AD0" w:rsidRPr="007B415B" w:rsidRDefault="005B3AD0" w:rsidP="007B415B">
      <w:pPr>
        <w:spacing w:line="240" w:lineRule="auto"/>
        <w:ind w:firstLine="567"/>
        <w:jc w:val="both"/>
        <w:rPr>
          <w:rFonts w:ascii="Times New Roman" w:hAnsi="Times New Roman"/>
          <w:sz w:val="24"/>
          <w:szCs w:val="24"/>
        </w:rPr>
      </w:pPr>
    </w:p>
    <w:p w:rsidR="00335630" w:rsidRDefault="00335630" w:rsidP="007B415B">
      <w:pPr>
        <w:spacing w:line="240" w:lineRule="auto"/>
        <w:ind w:firstLine="567"/>
        <w:jc w:val="center"/>
        <w:rPr>
          <w:rFonts w:ascii="Times New Roman" w:hAnsi="Times New Roman"/>
          <w:sz w:val="24"/>
          <w:szCs w:val="24"/>
        </w:rPr>
      </w:pPr>
    </w:p>
    <w:p w:rsidR="00726D88" w:rsidRPr="007B415B" w:rsidRDefault="00317882" w:rsidP="00335630">
      <w:pPr>
        <w:spacing w:line="240" w:lineRule="auto"/>
        <w:jc w:val="center"/>
        <w:rPr>
          <w:rFonts w:ascii="Times New Roman" w:hAnsi="Times New Roman"/>
          <w:sz w:val="24"/>
          <w:szCs w:val="24"/>
        </w:rPr>
      </w:pPr>
      <w:r w:rsidRPr="007B415B">
        <w:rPr>
          <w:rFonts w:ascii="Times New Roman" w:hAnsi="Times New Roman"/>
          <w:sz w:val="24"/>
          <w:szCs w:val="24"/>
        </w:rPr>
        <w:t>JARBAS BARBOSA DA SILVA JR.</w:t>
      </w:r>
    </w:p>
    <w:sectPr w:rsidR="00726D88" w:rsidRPr="007B415B" w:rsidSect="007B415B">
      <w:headerReference w:type="default" r:id="rId7"/>
      <w:footerReference w:type="default" r:id="rId8"/>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43DA" w:rsidRDefault="005F43DA" w:rsidP="00335630">
      <w:pPr>
        <w:spacing w:after="0" w:line="240" w:lineRule="auto"/>
      </w:pPr>
      <w:r>
        <w:separator/>
      </w:r>
    </w:p>
  </w:endnote>
  <w:endnote w:type="continuationSeparator" w:id="0">
    <w:p w:rsidR="005F43DA" w:rsidRDefault="005F43DA" w:rsidP="00335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5630" w:rsidRPr="00335630" w:rsidRDefault="00335630" w:rsidP="00335630">
    <w:pPr>
      <w:tabs>
        <w:tab w:val="center" w:pos="4252"/>
        <w:tab w:val="right" w:pos="8504"/>
      </w:tabs>
      <w:spacing w:after="0" w:line="240" w:lineRule="auto"/>
      <w:jc w:val="center"/>
      <w:rPr>
        <w:color w:val="943634"/>
      </w:rPr>
    </w:pPr>
    <w:r w:rsidRPr="00B517AC">
      <w:rPr>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43DA" w:rsidRDefault="005F43DA" w:rsidP="00335630">
      <w:pPr>
        <w:spacing w:after="0" w:line="240" w:lineRule="auto"/>
      </w:pPr>
      <w:r>
        <w:separator/>
      </w:r>
    </w:p>
  </w:footnote>
  <w:footnote w:type="continuationSeparator" w:id="0">
    <w:p w:rsidR="005F43DA" w:rsidRDefault="005F43DA" w:rsidP="003356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5630" w:rsidRPr="00B517AC" w:rsidRDefault="005F43DA" w:rsidP="00335630">
    <w:pPr>
      <w:tabs>
        <w:tab w:val="center" w:pos="4252"/>
        <w:tab w:val="right" w:pos="8504"/>
      </w:tabs>
      <w:spacing w:after="0" w:line="240" w:lineRule="auto"/>
      <w:jc w:val="center"/>
    </w:pPr>
    <w:r w:rsidRPr="00A33434">
      <w:rPr>
        <w:noProof/>
        <w:lang w:eastAsia="pt-BR"/>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335630" w:rsidRPr="00B517AC" w:rsidRDefault="00335630" w:rsidP="00335630">
    <w:pPr>
      <w:tabs>
        <w:tab w:val="center" w:pos="4252"/>
        <w:tab w:val="right" w:pos="8504"/>
      </w:tabs>
      <w:spacing w:after="0" w:line="240" w:lineRule="auto"/>
      <w:jc w:val="center"/>
      <w:rPr>
        <w:b/>
        <w:sz w:val="24"/>
      </w:rPr>
    </w:pPr>
    <w:r w:rsidRPr="00B517AC">
      <w:rPr>
        <w:b/>
        <w:sz w:val="24"/>
      </w:rPr>
      <w:t>Ministério da Saúde - MS</w:t>
    </w:r>
  </w:p>
  <w:p w:rsidR="00335630" w:rsidRPr="00B517AC" w:rsidRDefault="00335630" w:rsidP="00335630">
    <w:pPr>
      <w:tabs>
        <w:tab w:val="center" w:pos="4252"/>
        <w:tab w:val="right" w:pos="8504"/>
      </w:tabs>
      <w:spacing w:after="0" w:line="240" w:lineRule="auto"/>
      <w:jc w:val="center"/>
      <w:rPr>
        <w:b/>
        <w:sz w:val="24"/>
      </w:rPr>
    </w:pPr>
    <w:r w:rsidRPr="00B517AC">
      <w:rPr>
        <w:b/>
        <w:sz w:val="24"/>
      </w:rPr>
      <w:t>Agência Nacional de Vigilância Sanitária - ANVISA</w:t>
    </w:r>
  </w:p>
  <w:p w:rsidR="00335630" w:rsidRDefault="0033563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5B26D8"/>
    <w:multiLevelType w:val="hybridMultilevel"/>
    <w:tmpl w:val="EBFCA78A"/>
    <w:lvl w:ilvl="0" w:tplc="04160013">
      <w:start w:val="1"/>
      <w:numFmt w:val="upperRoman"/>
      <w:lvlText w:val="%1."/>
      <w:lvlJc w:val="right"/>
      <w:pPr>
        <w:ind w:left="780" w:hanging="360"/>
      </w:pPr>
      <w:rPr>
        <w:rFonts w:cs="Times New Roman"/>
      </w:rPr>
    </w:lvl>
    <w:lvl w:ilvl="1" w:tplc="04160019" w:tentative="1">
      <w:start w:val="1"/>
      <w:numFmt w:val="lowerLetter"/>
      <w:lvlText w:val="%2."/>
      <w:lvlJc w:val="left"/>
      <w:pPr>
        <w:ind w:left="1500" w:hanging="360"/>
      </w:pPr>
      <w:rPr>
        <w:rFonts w:cs="Times New Roman"/>
      </w:rPr>
    </w:lvl>
    <w:lvl w:ilvl="2" w:tplc="0416001B" w:tentative="1">
      <w:start w:val="1"/>
      <w:numFmt w:val="lowerRoman"/>
      <w:lvlText w:val="%3."/>
      <w:lvlJc w:val="right"/>
      <w:pPr>
        <w:ind w:left="2220" w:hanging="180"/>
      </w:pPr>
      <w:rPr>
        <w:rFonts w:cs="Times New Roman"/>
      </w:rPr>
    </w:lvl>
    <w:lvl w:ilvl="3" w:tplc="0416000F" w:tentative="1">
      <w:start w:val="1"/>
      <w:numFmt w:val="decimal"/>
      <w:lvlText w:val="%4."/>
      <w:lvlJc w:val="left"/>
      <w:pPr>
        <w:ind w:left="2940" w:hanging="360"/>
      </w:pPr>
      <w:rPr>
        <w:rFonts w:cs="Times New Roman"/>
      </w:rPr>
    </w:lvl>
    <w:lvl w:ilvl="4" w:tplc="04160019" w:tentative="1">
      <w:start w:val="1"/>
      <w:numFmt w:val="lowerLetter"/>
      <w:lvlText w:val="%5."/>
      <w:lvlJc w:val="left"/>
      <w:pPr>
        <w:ind w:left="3660" w:hanging="360"/>
      </w:pPr>
      <w:rPr>
        <w:rFonts w:cs="Times New Roman"/>
      </w:rPr>
    </w:lvl>
    <w:lvl w:ilvl="5" w:tplc="0416001B" w:tentative="1">
      <w:start w:val="1"/>
      <w:numFmt w:val="lowerRoman"/>
      <w:lvlText w:val="%6."/>
      <w:lvlJc w:val="right"/>
      <w:pPr>
        <w:ind w:left="4380" w:hanging="180"/>
      </w:pPr>
      <w:rPr>
        <w:rFonts w:cs="Times New Roman"/>
      </w:rPr>
    </w:lvl>
    <w:lvl w:ilvl="6" w:tplc="0416000F" w:tentative="1">
      <w:start w:val="1"/>
      <w:numFmt w:val="decimal"/>
      <w:lvlText w:val="%7."/>
      <w:lvlJc w:val="left"/>
      <w:pPr>
        <w:ind w:left="5100" w:hanging="360"/>
      </w:pPr>
      <w:rPr>
        <w:rFonts w:cs="Times New Roman"/>
      </w:rPr>
    </w:lvl>
    <w:lvl w:ilvl="7" w:tplc="04160019" w:tentative="1">
      <w:start w:val="1"/>
      <w:numFmt w:val="lowerLetter"/>
      <w:lvlText w:val="%8."/>
      <w:lvlJc w:val="left"/>
      <w:pPr>
        <w:ind w:left="5820" w:hanging="360"/>
      </w:pPr>
      <w:rPr>
        <w:rFonts w:cs="Times New Roman"/>
      </w:rPr>
    </w:lvl>
    <w:lvl w:ilvl="8" w:tplc="0416001B" w:tentative="1">
      <w:start w:val="1"/>
      <w:numFmt w:val="lowerRoman"/>
      <w:lvlText w:val="%9."/>
      <w:lvlJc w:val="right"/>
      <w:pPr>
        <w:ind w:left="654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FD6BBD"/>
    <w:rsid w:val="00027ED1"/>
    <w:rsid w:val="0003187C"/>
    <w:rsid w:val="0003569B"/>
    <w:rsid w:val="00036543"/>
    <w:rsid w:val="0004164E"/>
    <w:rsid w:val="00041C62"/>
    <w:rsid w:val="00044F9A"/>
    <w:rsid w:val="000A1DE0"/>
    <w:rsid w:val="000B5CE0"/>
    <w:rsid w:val="000C35DE"/>
    <w:rsid w:val="000C3AA9"/>
    <w:rsid w:val="000E5B7D"/>
    <w:rsid w:val="001545E3"/>
    <w:rsid w:val="00184CEB"/>
    <w:rsid w:val="001B3A37"/>
    <w:rsid w:val="001D375F"/>
    <w:rsid w:val="001E1DB6"/>
    <w:rsid w:val="00224CAE"/>
    <w:rsid w:val="00240FF0"/>
    <w:rsid w:val="0024593E"/>
    <w:rsid w:val="00255738"/>
    <w:rsid w:val="002965F7"/>
    <w:rsid w:val="002B3FA7"/>
    <w:rsid w:val="002C246C"/>
    <w:rsid w:val="002D6789"/>
    <w:rsid w:val="00317882"/>
    <w:rsid w:val="00335630"/>
    <w:rsid w:val="0034254F"/>
    <w:rsid w:val="003736C2"/>
    <w:rsid w:val="00380E8B"/>
    <w:rsid w:val="003A70C4"/>
    <w:rsid w:val="003F0167"/>
    <w:rsid w:val="004370B1"/>
    <w:rsid w:val="004B2E20"/>
    <w:rsid w:val="004D0AAF"/>
    <w:rsid w:val="004F23CC"/>
    <w:rsid w:val="00520816"/>
    <w:rsid w:val="0054063F"/>
    <w:rsid w:val="00550B8A"/>
    <w:rsid w:val="00572E13"/>
    <w:rsid w:val="00586B29"/>
    <w:rsid w:val="005B3AD0"/>
    <w:rsid w:val="005F142A"/>
    <w:rsid w:val="005F164D"/>
    <w:rsid w:val="005F43DA"/>
    <w:rsid w:val="00625E8C"/>
    <w:rsid w:val="00640DB0"/>
    <w:rsid w:val="006532CB"/>
    <w:rsid w:val="00675248"/>
    <w:rsid w:val="006918D7"/>
    <w:rsid w:val="006B0B81"/>
    <w:rsid w:val="006B1714"/>
    <w:rsid w:val="006F17AF"/>
    <w:rsid w:val="00705A75"/>
    <w:rsid w:val="00706B5E"/>
    <w:rsid w:val="00726D88"/>
    <w:rsid w:val="007316BB"/>
    <w:rsid w:val="00732B00"/>
    <w:rsid w:val="0077367E"/>
    <w:rsid w:val="00775DF0"/>
    <w:rsid w:val="00783A49"/>
    <w:rsid w:val="007B415B"/>
    <w:rsid w:val="007E12E9"/>
    <w:rsid w:val="007F1DD2"/>
    <w:rsid w:val="007F3921"/>
    <w:rsid w:val="00851524"/>
    <w:rsid w:val="00864720"/>
    <w:rsid w:val="00877898"/>
    <w:rsid w:val="00896B2A"/>
    <w:rsid w:val="008A6110"/>
    <w:rsid w:val="008B245E"/>
    <w:rsid w:val="008F174C"/>
    <w:rsid w:val="009004F7"/>
    <w:rsid w:val="0092632B"/>
    <w:rsid w:val="00944EB3"/>
    <w:rsid w:val="00977CA2"/>
    <w:rsid w:val="0098658D"/>
    <w:rsid w:val="009A5286"/>
    <w:rsid w:val="009C0F32"/>
    <w:rsid w:val="009F0990"/>
    <w:rsid w:val="00A008F2"/>
    <w:rsid w:val="00A07111"/>
    <w:rsid w:val="00A12E95"/>
    <w:rsid w:val="00A143F3"/>
    <w:rsid w:val="00A1449A"/>
    <w:rsid w:val="00A33434"/>
    <w:rsid w:val="00AB6036"/>
    <w:rsid w:val="00AD017D"/>
    <w:rsid w:val="00AE4754"/>
    <w:rsid w:val="00B152AF"/>
    <w:rsid w:val="00B1579E"/>
    <w:rsid w:val="00B517AC"/>
    <w:rsid w:val="00BB5674"/>
    <w:rsid w:val="00BD1F56"/>
    <w:rsid w:val="00C46DCF"/>
    <w:rsid w:val="00C8574A"/>
    <w:rsid w:val="00CC1A1B"/>
    <w:rsid w:val="00CC3F79"/>
    <w:rsid w:val="00CD1F02"/>
    <w:rsid w:val="00CF2078"/>
    <w:rsid w:val="00D143BC"/>
    <w:rsid w:val="00D22DF5"/>
    <w:rsid w:val="00D67A13"/>
    <w:rsid w:val="00D841F5"/>
    <w:rsid w:val="00DB7923"/>
    <w:rsid w:val="00DC34B4"/>
    <w:rsid w:val="00DC57A5"/>
    <w:rsid w:val="00DD0FEB"/>
    <w:rsid w:val="00DE4BD5"/>
    <w:rsid w:val="00DE77B6"/>
    <w:rsid w:val="00DF6BF3"/>
    <w:rsid w:val="00E10BE1"/>
    <w:rsid w:val="00E176F6"/>
    <w:rsid w:val="00E42041"/>
    <w:rsid w:val="00E50723"/>
    <w:rsid w:val="00E65660"/>
    <w:rsid w:val="00E75442"/>
    <w:rsid w:val="00E9300C"/>
    <w:rsid w:val="00E960D3"/>
    <w:rsid w:val="00EB312F"/>
    <w:rsid w:val="00EE0B8A"/>
    <w:rsid w:val="00EF1A5A"/>
    <w:rsid w:val="00F00236"/>
    <w:rsid w:val="00F131CF"/>
    <w:rsid w:val="00F24077"/>
    <w:rsid w:val="00F8654A"/>
    <w:rsid w:val="00F94676"/>
    <w:rsid w:val="00FA056E"/>
    <w:rsid w:val="00FA4A34"/>
    <w:rsid w:val="00FA6E75"/>
    <w:rsid w:val="00FB7733"/>
    <w:rsid w:val="00FD3451"/>
    <w:rsid w:val="00FD6BBD"/>
    <w:rsid w:val="00FE0FBC"/>
    <w:rsid w:val="00FF45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6BBD"/>
    <w:pPr>
      <w:spacing w:after="200" w:line="276" w:lineRule="auto"/>
    </w:pPr>
    <w:rPr>
      <w:rFonts w:cs="Times New Roman"/>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F454F"/>
    <w:rPr>
      <w:rFonts w:cs="Times New Roman"/>
      <w:color w:val="0000FF"/>
      <w:u w:val="single"/>
    </w:rPr>
  </w:style>
  <w:style w:type="paragraph" w:customStyle="1" w:styleId="Default">
    <w:name w:val="Default"/>
    <w:rsid w:val="00FF454F"/>
    <w:pPr>
      <w:autoSpaceDE w:val="0"/>
      <w:autoSpaceDN w:val="0"/>
      <w:adjustRightInd w:val="0"/>
    </w:pPr>
    <w:rPr>
      <w:rFonts w:ascii="Arial" w:hAnsi="Arial" w:cs="Arial"/>
      <w:color w:val="000000"/>
      <w:sz w:val="24"/>
      <w:szCs w:val="24"/>
      <w:lang w:eastAsia="en-US"/>
    </w:rPr>
  </w:style>
  <w:style w:type="character" w:styleId="Refdecomentrio">
    <w:name w:val="annotation reference"/>
    <w:basedOn w:val="Fontepargpadro"/>
    <w:uiPriority w:val="99"/>
    <w:semiHidden/>
    <w:unhideWhenUsed/>
    <w:rsid w:val="00AB6036"/>
    <w:rPr>
      <w:rFonts w:cs="Times New Roman"/>
      <w:sz w:val="16"/>
      <w:szCs w:val="16"/>
    </w:rPr>
  </w:style>
  <w:style w:type="paragraph" w:styleId="Textodecomentrio">
    <w:name w:val="annotation text"/>
    <w:basedOn w:val="Normal"/>
    <w:link w:val="TextodecomentrioChar"/>
    <w:uiPriority w:val="99"/>
    <w:semiHidden/>
    <w:unhideWhenUsed/>
    <w:rsid w:val="00AB6036"/>
    <w:pPr>
      <w:spacing w:line="240" w:lineRule="auto"/>
    </w:pPr>
    <w:rPr>
      <w:rFonts w:asciiTheme="minorHAnsi" w:hAnsiTheme="minorHAnsi"/>
      <w:sz w:val="20"/>
      <w:szCs w:val="20"/>
    </w:rPr>
  </w:style>
  <w:style w:type="character" w:customStyle="1" w:styleId="TextodecomentrioChar">
    <w:name w:val="Texto de comentário Char"/>
    <w:basedOn w:val="Fontepargpadro"/>
    <w:link w:val="Textodecomentrio"/>
    <w:uiPriority w:val="99"/>
    <w:semiHidden/>
    <w:locked/>
    <w:rsid w:val="00AB6036"/>
    <w:rPr>
      <w:rFonts w:asciiTheme="minorHAnsi" w:hAnsiTheme="minorHAnsi" w:cs="Times New Roman"/>
      <w:lang w:val="x-none" w:eastAsia="en-US"/>
    </w:rPr>
  </w:style>
  <w:style w:type="paragraph" w:styleId="Textodebalo">
    <w:name w:val="Balloon Text"/>
    <w:basedOn w:val="Normal"/>
    <w:link w:val="TextodebaloChar"/>
    <w:uiPriority w:val="99"/>
    <w:semiHidden/>
    <w:unhideWhenUsed/>
    <w:rsid w:val="00AB603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AB6036"/>
    <w:rPr>
      <w:rFonts w:ascii="Tahoma" w:hAnsi="Tahoma" w:cs="Tahoma"/>
      <w:sz w:val="16"/>
      <w:szCs w:val="16"/>
      <w:lang w:val="x-none" w:eastAsia="en-US"/>
    </w:rPr>
  </w:style>
  <w:style w:type="paragraph" w:styleId="Cabealho">
    <w:name w:val="header"/>
    <w:basedOn w:val="Normal"/>
    <w:link w:val="CabealhoChar"/>
    <w:uiPriority w:val="99"/>
    <w:unhideWhenUsed/>
    <w:rsid w:val="00335630"/>
    <w:pPr>
      <w:tabs>
        <w:tab w:val="center" w:pos="4252"/>
        <w:tab w:val="right" w:pos="8504"/>
      </w:tabs>
      <w:spacing w:after="0" w:line="240" w:lineRule="auto"/>
    </w:pPr>
  </w:style>
  <w:style w:type="character" w:customStyle="1" w:styleId="CabealhoChar">
    <w:name w:val="Cabeçalho Char"/>
    <w:basedOn w:val="Fontepargpadro"/>
    <w:link w:val="Cabealho"/>
    <w:uiPriority w:val="99"/>
    <w:locked/>
    <w:rsid w:val="00335630"/>
    <w:rPr>
      <w:rFonts w:cs="Times New Roman"/>
      <w:sz w:val="22"/>
      <w:szCs w:val="22"/>
      <w:lang w:val="x-none" w:eastAsia="en-US"/>
    </w:rPr>
  </w:style>
  <w:style w:type="paragraph" w:styleId="Rodap">
    <w:name w:val="footer"/>
    <w:basedOn w:val="Normal"/>
    <w:link w:val="RodapChar"/>
    <w:uiPriority w:val="99"/>
    <w:unhideWhenUsed/>
    <w:rsid w:val="00335630"/>
    <w:pPr>
      <w:tabs>
        <w:tab w:val="center" w:pos="4252"/>
        <w:tab w:val="right" w:pos="8504"/>
      </w:tabs>
      <w:spacing w:after="0" w:line="240" w:lineRule="auto"/>
    </w:pPr>
  </w:style>
  <w:style w:type="character" w:customStyle="1" w:styleId="RodapChar">
    <w:name w:val="Rodapé Char"/>
    <w:basedOn w:val="Fontepargpadro"/>
    <w:link w:val="Rodap"/>
    <w:uiPriority w:val="99"/>
    <w:locked/>
    <w:rsid w:val="00335630"/>
    <w:rPr>
      <w:rFonts w:cs="Times New Roman"/>
      <w:sz w:val="22"/>
      <w:szCs w:val="22"/>
      <w:lang w:val="x-none" w:eastAsia="en-US"/>
    </w:rPr>
  </w:style>
  <w:style w:type="paragraph" w:styleId="PargrafodaLista">
    <w:name w:val="List Paragraph"/>
    <w:basedOn w:val="Normal"/>
    <w:uiPriority w:val="34"/>
    <w:qFormat/>
    <w:rsid w:val="00335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1719372">
      <w:marLeft w:val="0"/>
      <w:marRight w:val="0"/>
      <w:marTop w:val="0"/>
      <w:marBottom w:val="0"/>
      <w:divBdr>
        <w:top w:val="none" w:sz="0" w:space="0" w:color="auto"/>
        <w:left w:val="none" w:sz="0" w:space="0" w:color="auto"/>
        <w:bottom w:val="none" w:sz="0" w:space="0" w:color="auto"/>
        <w:right w:val="none" w:sz="0" w:space="0" w:color="auto"/>
      </w:divBdr>
    </w:div>
    <w:div w:id="1961719373">
      <w:marLeft w:val="0"/>
      <w:marRight w:val="0"/>
      <w:marTop w:val="0"/>
      <w:marBottom w:val="0"/>
      <w:divBdr>
        <w:top w:val="none" w:sz="0" w:space="0" w:color="auto"/>
        <w:left w:val="none" w:sz="0" w:space="0" w:color="auto"/>
        <w:bottom w:val="none" w:sz="0" w:space="0" w:color="auto"/>
        <w:right w:val="none" w:sz="0" w:space="0" w:color="auto"/>
      </w:divBdr>
    </w:div>
    <w:div w:id="1961719374">
      <w:marLeft w:val="0"/>
      <w:marRight w:val="0"/>
      <w:marTop w:val="0"/>
      <w:marBottom w:val="0"/>
      <w:divBdr>
        <w:top w:val="none" w:sz="0" w:space="0" w:color="auto"/>
        <w:left w:val="none" w:sz="0" w:space="0" w:color="auto"/>
        <w:bottom w:val="none" w:sz="0" w:space="0" w:color="auto"/>
        <w:right w:val="none" w:sz="0" w:space="0" w:color="auto"/>
      </w:divBdr>
    </w:div>
    <w:div w:id="1961719375">
      <w:marLeft w:val="0"/>
      <w:marRight w:val="0"/>
      <w:marTop w:val="0"/>
      <w:marBottom w:val="0"/>
      <w:divBdr>
        <w:top w:val="none" w:sz="0" w:space="0" w:color="auto"/>
        <w:left w:val="none" w:sz="0" w:space="0" w:color="auto"/>
        <w:bottom w:val="none" w:sz="0" w:space="0" w:color="auto"/>
        <w:right w:val="none" w:sz="0" w:space="0" w:color="auto"/>
      </w:divBdr>
    </w:div>
    <w:div w:id="1961719376">
      <w:marLeft w:val="0"/>
      <w:marRight w:val="0"/>
      <w:marTop w:val="0"/>
      <w:marBottom w:val="0"/>
      <w:divBdr>
        <w:top w:val="none" w:sz="0" w:space="0" w:color="auto"/>
        <w:left w:val="none" w:sz="0" w:space="0" w:color="auto"/>
        <w:bottom w:val="none" w:sz="0" w:space="0" w:color="auto"/>
        <w:right w:val="none" w:sz="0" w:space="0" w:color="auto"/>
      </w:divBdr>
    </w:div>
    <w:div w:id="196171937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610</Words>
  <Characters>3297</Characters>
  <Application>Microsoft Office Word</Application>
  <DocSecurity>0</DocSecurity>
  <Lines>27</Lines>
  <Paragraphs>7</Paragraphs>
  <ScaleCrop>false</ScaleCrop>
  <Company>ANVISA</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maria.livia</dc:creator>
  <cp:keywords/>
  <dc:description/>
  <cp:lastModifiedBy>Julia de Souza Ferreira</cp:lastModifiedBy>
  <cp:revision>2</cp:revision>
  <cp:lastPrinted>2017-08-23T14:08:00Z</cp:lastPrinted>
  <dcterms:created xsi:type="dcterms:W3CDTF">2018-08-16T18:54:00Z</dcterms:created>
  <dcterms:modified xsi:type="dcterms:W3CDTF">2018-08-16T18:54:00Z</dcterms:modified>
</cp:coreProperties>
</file>