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417" w:rsidRPr="00891739" w:rsidRDefault="00073417" w:rsidP="00891739">
      <w:pPr>
        <w:spacing w:after="200"/>
        <w:ind w:left="-567" w:right="-568"/>
        <w:jc w:val="center"/>
        <w:rPr>
          <w:sz w:val="23"/>
          <w:szCs w:val="23"/>
        </w:rPr>
      </w:pPr>
      <w:r w:rsidRPr="00891739">
        <w:rPr>
          <w:b/>
          <w:bCs/>
          <w:sz w:val="23"/>
          <w:szCs w:val="23"/>
        </w:rPr>
        <w:t>RESOLUÇÃO DA DIRETORIA COLEGIADA - RDC Nº 22, DE 25 DE MARÇO DE 2008.</w:t>
      </w:r>
      <w:r w:rsidRPr="00891739">
        <w:rPr>
          <w:sz w:val="23"/>
          <w:szCs w:val="23"/>
        </w:rPr>
        <w:t xml:space="preserve"> (*)</w:t>
      </w:r>
    </w:p>
    <w:p w:rsidR="00073417" w:rsidRPr="00073417" w:rsidRDefault="00073417" w:rsidP="00073417">
      <w:pPr>
        <w:spacing w:after="200"/>
        <w:jc w:val="center"/>
        <w:rPr>
          <w:b/>
          <w:color w:val="0000FF"/>
        </w:rPr>
      </w:pPr>
      <w:r w:rsidRPr="00073417">
        <w:rPr>
          <w:b/>
          <w:color w:val="0000FF"/>
        </w:rPr>
        <w:t>(Publicada no DOU nº 61, de 31 de março de 2008)</w:t>
      </w:r>
    </w:p>
    <w:p w:rsidR="00073417" w:rsidRDefault="00073417" w:rsidP="00073417">
      <w:pPr>
        <w:spacing w:after="200"/>
        <w:jc w:val="center"/>
        <w:rPr>
          <w:b/>
          <w:color w:val="0000FF"/>
        </w:rPr>
      </w:pPr>
      <w:r w:rsidRPr="00073417">
        <w:rPr>
          <w:b/>
          <w:color w:val="0000FF"/>
        </w:rPr>
        <w:t>(Republicada no DOU nº 71, de 14 de abril de 2008)</w:t>
      </w:r>
    </w:p>
    <w:p w:rsidR="002B64EE" w:rsidRPr="00073417" w:rsidRDefault="002B64EE" w:rsidP="00073417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 xml:space="preserve">(Revogada tacitamente </w:t>
      </w:r>
      <w:r w:rsidRPr="002B64EE">
        <w:rPr>
          <w:b/>
          <w:color w:val="0000FF"/>
        </w:rPr>
        <w:t>pe</w:t>
      </w:r>
      <w:r>
        <w:rPr>
          <w:b/>
          <w:color w:val="0000FF"/>
        </w:rPr>
        <w:t xml:space="preserve">la Resolução – RDC nº 64, de 28 de dezembro de </w:t>
      </w:r>
      <w:r w:rsidRPr="002B64EE">
        <w:rPr>
          <w:b/>
          <w:color w:val="0000FF"/>
        </w:rPr>
        <w:t>2012, conforme declarado em Despacho nº 56, de 27 de março de 2018</w:t>
      </w:r>
      <w:r>
        <w:rPr>
          <w:b/>
          <w:color w:val="0000FF"/>
        </w:rPr>
        <w:t>)</w:t>
      </w:r>
    </w:p>
    <w:p w:rsidR="00073417" w:rsidRPr="002B64EE" w:rsidRDefault="00891739" w:rsidP="00073417">
      <w:pPr>
        <w:spacing w:after="200"/>
        <w:ind w:firstLine="567"/>
        <w:jc w:val="both"/>
        <w:rPr>
          <w:strike/>
        </w:rPr>
      </w:pPr>
      <w:r w:rsidRPr="002B64EE">
        <w:rPr>
          <w:b/>
          <w:bCs/>
          <w:strike/>
        </w:rPr>
        <w:t>A Diretoria Colegiada da Agência Nacional de Vigilância Sanitária</w:t>
      </w:r>
      <w:r w:rsidRPr="002B64EE">
        <w:rPr>
          <w:strike/>
        </w:rPr>
        <w:t>, no uso da atribuição que lhe confere o inciso IV do art. 11 do Regulamento aprovado pelo Decreto nº 3029, de 16 de abril de 1999, e tendo em vista o disposto no inciso II e nos §§ 1º e 3º do art. 54 do Regimento Interno aprovado nos termos do anexo I da Portaria nº 354 da ANVISA, DE 11 de agosto de 2006, republicada no D.O.U. de 21 de agosto de 2006, em reunião realizada em 25 de março de 2008, e</w:t>
      </w:r>
    </w:p>
    <w:p w:rsidR="00073417" w:rsidRPr="002B64EE" w:rsidRDefault="00891739" w:rsidP="00073417">
      <w:pPr>
        <w:pStyle w:val="Corpodetexto2"/>
        <w:spacing w:after="200"/>
        <w:rPr>
          <w:strike/>
          <w:sz w:val="24"/>
          <w:szCs w:val="24"/>
        </w:rPr>
      </w:pPr>
      <w:r w:rsidRPr="002B64EE">
        <w:rPr>
          <w:strike/>
          <w:sz w:val="24"/>
          <w:szCs w:val="24"/>
        </w:rPr>
        <w:t>considerando a competência da Agência Nacional de Vigilância Sanitária decorrente da seguinte legislação: Lei n° 6.360/76, Decreto n° 79.094/77, Lei n° 8.080/90, Lei nº 9.782/99, Lei nº 9.787/99, Decreto n.º 3.029/99, Decreto n° 3.181/99 e a Instrução Normativa da Secretaria de Vigilância Sanitária do Ministério da Saúde nº 1, de 30 de setembro de 1994;</w:t>
      </w:r>
    </w:p>
    <w:p w:rsidR="00073417" w:rsidRPr="002B64EE" w:rsidRDefault="00891739" w:rsidP="00073417">
      <w:pPr>
        <w:spacing w:after="200"/>
        <w:ind w:firstLine="567"/>
        <w:jc w:val="both"/>
        <w:rPr>
          <w:strike/>
        </w:rPr>
      </w:pPr>
      <w:r w:rsidRPr="002B64EE">
        <w:rPr>
          <w:strike/>
        </w:rPr>
        <w:t>considerando as recomendações da Organização Mundial da Saúde (OMS), aos seus países membros, sobre a importância das denominações comuns para as substâncias farmacêuticas;</w:t>
      </w:r>
    </w:p>
    <w:p w:rsidR="00073417" w:rsidRPr="002B64EE" w:rsidRDefault="00891739" w:rsidP="00073417">
      <w:pPr>
        <w:pStyle w:val="Corpodetexto2"/>
        <w:spacing w:after="200"/>
        <w:rPr>
          <w:strike/>
          <w:sz w:val="24"/>
          <w:szCs w:val="24"/>
        </w:rPr>
      </w:pPr>
      <w:r w:rsidRPr="002B64EE">
        <w:rPr>
          <w:strike/>
          <w:sz w:val="24"/>
          <w:szCs w:val="24"/>
        </w:rPr>
        <w:t xml:space="preserve">considerando as regras de nomenclatura e de tradução para fármacos ou medicamentos, elaboradas pela Subcomissão de Denominações Comuns Brasileiras (SDCB), da Comissão Permanente de Revisão da </w:t>
      </w:r>
      <w:proofErr w:type="spellStart"/>
      <w:r w:rsidRPr="002B64EE">
        <w:rPr>
          <w:strike/>
          <w:sz w:val="24"/>
          <w:szCs w:val="24"/>
        </w:rPr>
        <w:t>Farmacopéia</w:t>
      </w:r>
      <w:proofErr w:type="spellEnd"/>
      <w:r w:rsidRPr="002B64EE">
        <w:rPr>
          <w:strike/>
          <w:sz w:val="24"/>
          <w:szCs w:val="24"/>
        </w:rPr>
        <w:t xml:space="preserve"> Brasileira (CPRFB), constantes da Resolução Anvisa RDC no 276, de 21 de outubro de 2002 (DOU 12/11/2002) e RDC n°. 125 de 13 de maio de 2005;</w:t>
      </w:r>
    </w:p>
    <w:p w:rsidR="00073417" w:rsidRPr="002B64EE" w:rsidRDefault="00891739" w:rsidP="00073417">
      <w:pPr>
        <w:pStyle w:val="Corpodetexto2"/>
        <w:spacing w:after="200"/>
        <w:rPr>
          <w:strike/>
          <w:sz w:val="24"/>
          <w:szCs w:val="24"/>
        </w:rPr>
      </w:pPr>
      <w:r w:rsidRPr="002B64EE">
        <w:rPr>
          <w:strike/>
          <w:sz w:val="24"/>
          <w:szCs w:val="24"/>
        </w:rPr>
        <w:t>considerando a necessidade de revisar e atualizar as Denominações Comuns Brasileiras (DCB) publicadas pela Resolução Anvisa RDC nº. 211, de 17 de novembro de 2006 (DOU 20/11/2006);</w:t>
      </w:r>
    </w:p>
    <w:p w:rsidR="00073417" w:rsidRPr="002B64EE" w:rsidRDefault="00891739" w:rsidP="00073417">
      <w:pPr>
        <w:spacing w:after="200"/>
        <w:ind w:firstLine="567"/>
        <w:jc w:val="both"/>
        <w:rPr>
          <w:strike/>
        </w:rPr>
      </w:pPr>
      <w:r w:rsidRPr="002B64EE">
        <w:rPr>
          <w:strike/>
        </w:rPr>
        <w:t>considerando o parecer emitido pela SDCB, da CPRFB, em cumprimento do seu dever de, periodicamente, revisar e atualizar as DCB para substâncias farmacêuticas;</w:t>
      </w:r>
    </w:p>
    <w:p w:rsidR="00073417" w:rsidRPr="002B64EE" w:rsidRDefault="00891739" w:rsidP="00073417">
      <w:pPr>
        <w:spacing w:after="200"/>
        <w:ind w:firstLine="567"/>
        <w:jc w:val="both"/>
        <w:rPr>
          <w:strike/>
        </w:rPr>
      </w:pPr>
      <w:r w:rsidRPr="002B64EE">
        <w:rPr>
          <w:strike/>
        </w:rPr>
        <w:t>adota a seguinte Resolução de Diretoria Colegiada e eu Diretor-Presidente, determino a sua publicação:</w:t>
      </w:r>
    </w:p>
    <w:p w:rsidR="00073417" w:rsidRPr="002B64EE" w:rsidRDefault="00891739" w:rsidP="00073417">
      <w:pPr>
        <w:spacing w:after="200"/>
        <w:ind w:firstLine="567"/>
        <w:jc w:val="both"/>
        <w:rPr>
          <w:strike/>
        </w:rPr>
      </w:pPr>
      <w:r w:rsidRPr="002B64EE">
        <w:rPr>
          <w:strike/>
        </w:rPr>
        <w:t>Art. 1º Aprovar, na forma do Anexo, as inclusões das Denominações Comuns Brasileiras (DCB) na Lista DCB 2006.</w:t>
      </w:r>
    </w:p>
    <w:p w:rsidR="00073417" w:rsidRPr="002B64EE" w:rsidRDefault="00891739" w:rsidP="00073417">
      <w:pPr>
        <w:spacing w:after="200"/>
        <w:ind w:firstLine="567"/>
        <w:jc w:val="both"/>
        <w:rPr>
          <w:strike/>
        </w:rPr>
      </w:pPr>
      <w:r w:rsidRPr="002B64EE">
        <w:rPr>
          <w:strike/>
        </w:rPr>
        <w:t>Art. 2º Esta Resolução entra em vigor na data da sua publicação.</w:t>
      </w:r>
    </w:p>
    <w:p w:rsidR="00073417" w:rsidRPr="002B64EE" w:rsidRDefault="00073417" w:rsidP="00073417">
      <w:pPr>
        <w:spacing w:after="200"/>
        <w:jc w:val="center"/>
        <w:rPr>
          <w:strike/>
        </w:rPr>
      </w:pPr>
    </w:p>
    <w:p w:rsidR="00073417" w:rsidRPr="002B64EE" w:rsidRDefault="00891739" w:rsidP="00073417">
      <w:pPr>
        <w:spacing w:after="200"/>
        <w:jc w:val="center"/>
        <w:rPr>
          <w:strike/>
        </w:rPr>
      </w:pPr>
      <w:r w:rsidRPr="002B64EE">
        <w:rPr>
          <w:strike/>
        </w:rPr>
        <w:t>DIRCEU RAPOSO DE MELLO</w:t>
      </w:r>
    </w:p>
    <w:p w:rsidR="00073417" w:rsidRPr="002B64EE" w:rsidRDefault="00073417" w:rsidP="00073417">
      <w:pPr>
        <w:spacing w:after="200"/>
        <w:jc w:val="center"/>
        <w:rPr>
          <w:b/>
          <w:strike/>
        </w:rPr>
      </w:pPr>
      <w:r w:rsidRPr="002B64EE">
        <w:rPr>
          <w:strike/>
        </w:rPr>
        <w:br w:type="page"/>
      </w:r>
      <w:r w:rsidR="00891739" w:rsidRPr="002B64EE">
        <w:rPr>
          <w:b/>
          <w:strike/>
        </w:rPr>
        <w:lastRenderedPageBreak/>
        <w:t>ANEXO</w:t>
      </w:r>
    </w:p>
    <w:p w:rsidR="00F611DF" w:rsidRPr="002B64EE" w:rsidRDefault="00891739" w:rsidP="00073417">
      <w:pPr>
        <w:pStyle w:val="Corpodetexto2"/>
        <w:spacing w:after="200"/>
        <w:ind w:firstLine="0"/>
        <w:jc w:val="center"/>
        <w:rPr>
          <w:strike/>
          <w:sz w:val="24"/>
          <w:szCs w:val="24"/>
        </w:rPr>
      </w:pPr>
      <w:r w:rsidRPr="002B64EE">
        <w:rPr>
          <w:b/>
          <w:strike/>
          <w:sz w:val="24"/>
          <w:szCs w:val="24"/>
        </w:rPr>
        <w:t>Inclusões na lista DCB publicada pela RDC nº 211, de 17 de novembro de 2006</w:t>
      </w:r>
      <w:r w:rsidRPr="002B64EE">
        <w:rPr>
          <w:strike/>
          <w:sz w:val="24"/>
          <w:szCs w:val="24"/>
        </w:rPr>
        <w:t>.</w:t>
      </w:r>
    </w:p>
    <w:tbl>
      <w:tblPr>
        <w:tblW w:w="864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1958"/>
        <w:gridCol w:w="1546"/>
        <w:gridCol w:w="2546"/>
        <w:gridCol w:w="1604"/>
      </w:tblGrid>
      <w:tr w:rsidR="00F611DF" w:rsidRPr="002B64EE" w:rsidTr="00891739">
        <w:trPr>
          <w:trHeight w:val="17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b/>
                <w:bCs/>
                <w:strike/>
              </w:rPr>
            </w:pPr>
            <w:r w:rsidRPr="002B64EE">
              <w:rPr>
                <w:b/>
                <w:bCs/>
                <w:strike/>
              </w:rPr>
              <w:t>Nº DCB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b/>
                <w:bCs/>
                <w:strike/>
              </w:rPr>
            </w:pPr>
            <w:r w:rsidRPr="002B64EE">
              <w:rPr>
                <w:b/>
                <w:bCs/>
                <w:strike/>
              </w:rPr>
              <w:t>Denominação sugerida para inclusão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b/>
                <w:bCs/>
                <w:strike/>
              </w:rPr>
            </w:pPr>
            <w:r w:rsidRPr="002B64EE">
              <w:rPr>
                <w:b/>
                <w:bCs/>
                <w:strike/>
              </w:rPr>
              <w:t>Nº CAS sugerido para inclusão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b/>
                <w:bCs/>
                <w:strike/>
              </w:rPr>
            </w:pPr>
            <w:r w:rsidRPr="002B64EE">
              <w:rPr>
                <w:b/>
                <w:bCs/>
                <w:strike/>
              </w:rPr>
              <w:t>Decisão da Subcomissão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b/>
                <w:bCs/>
                <w:strike/>
              </w:rPr>
            </w:pPr>
            <w:r w:rsidRPr="002B64EE">
              <w:rPr>
                <w:b/>
                <w:bCs/>
                <w:strike/>
              </w:rPr>
              <w:t>Classificação</w:t>
            </w:r>
          </w:p>
        </w:tc>
      </w:tr>
      <w:tr w:rsidR="00F611DF" w:rsidRPr="002B64EE" w:rsidTr="00891739">
        <w:trPr>
          <w:trHeight w:val="33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05164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acetato de </w:t>
            </w:r>
            <w:proofErr w:type="spellStart"/>
            <w:r w:rsidRPr="002B64EE">
              <w:rPr>
                <w:strike/>
              </w:rPr>
              <w:t>lanreotida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108736-35-2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Não inclusão, pois já consta na lista atualizada da DCB.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301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09638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cloridrato de </w:t>
            </w:r>
            <w:proofErr w:type="spellStart"/>
            <w:r w:rsidRPr="002B64EE">
              <w:rPr>
                <w:strike/>
              </w:rPr>
              <w:t>alfentanila</w:t>
            </w:r>
            <w:proofErr w:type="spellEnd"/>
            <w:r w:rsidRPr="002B64EE">
              <w:rPr>
                <w:strike/>
              </w:rPr>
              <w:t xml:space="preserve"> </w:t>
            </w:r>
            <w:proofErr w:type="spellStart"/>
            <w:r w:rsidRPr="002B64EE">
              <w:rPr>
                <w:strike/>
              </w:rPr>
              <w:t>monoidratada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70879-28-6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cloridrato de </w:t>
            </w:r>
            <w:proofErr w:type="spellStart"/>
            <w:r w:rsidRPr="002B64EE">
              <w:rPr>
                <w:strike/>
              </w:rPr>
              <w:t>alfentanila</w:t>
            </w:r>
            <w:proofErr w:type="spellEnd"/>
            <w:r w:rsidRPr="002B64EE">
              <w:rPr>
                <w:strike/>
              </w:rPr>
              <w:t xml:space="preserve"> </w:t>
            </w:r>
            <w:proofErr w:type="spellStart"/>
            <w:r w:rsidRPr="002B64EE">
              <w:rPr>
                <w:strike/>
              </w:rPr>
              <w:t>monoidratada</w:t>
            </w:r>
            <w:proofErr w:type="spellEnd"/>
            <w:r w:rsidRPr="002B64EE">
              <w:rPr>
                <w:strike/>
              </w:rPr>
              <w:t xml:space="preserve"> - CAS 70879-28-6.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101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09639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cloridrato de </w:t>
            </w:r>
            <w:proofErr w:type="spellStart"/>
            <w:r w:rsidRPr="002B64EE">
              <w:rPr>
                <w:strike/>
              </w:rPr>
              <w:t>colesevelam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182815-44-7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cloridrato de </w:t>
            </w:r>
            <w:proofErr w:type="spellStart"/>
            <w:r w:rsidRPr="002B64EE">
              <w:rPr>
                <w:strike/>
              </w:rPr>
              <w:t>colesevelam</w:t>
            </w:r>
            <w:proofErr w:type="spellEnd"/>
            <w:r w:rsidRPr="002B64EE">
              <w:rPr>
                <w:strike/>
              </w:rPr>
              <w:t xml:space="preserve"> - CAS 182815-44-7.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2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cloridrato de </w:t>
            </w:r>
            <w:proofErr w:type="spellStart"/>
            <w:r w:rsidRPr="002B64EE">
              <w:rPr>
                <w:strike/>
              </w:rPr>
              <w:t>dextrobupivacaína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27262-45-9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cloridrato de </w:t>
            </w:r>
            <w:proofErr w:type="spellStart"/>
            <w:r w:rsidRPr="002B64EE">
              <w:rPr>
                <w:strike/>
              </w:rPr>
              <w:t>dextrobupivacaína</w:t>
            </w:r>
            <w:proofErr w:type="spellEnd"/>
            <w:r w:rsidRPr="002B64EE">
              <w:rPr>
                <w:strike/>
              </w:rPr>
              <w:t xml:space="preserve"> - CAS 27262-45-9.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12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etravirina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269055-15-4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etravirina</w:t>
            </w:r>
            <w:proofErr w:type="spellEnd"/>
            <w:r w:rsidRPr="002B64EE">
              <w:rPr>
                <w:strike/>
              </w:rPr>
              <w:t xml:space="preserve"> - CAS 269055-15-4.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36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ipilimumabe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477202-00-9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ipilimumabe</w:t>
            </w:r>
            <w:proofErr w:type="spellEnd"/>
            <w:r w:rsidRPr="002B64EE">
              <w:rPr>
                <w:strike/>
              </w:rPr>
              <w:t xml:space="preserve"> - CAS 477202-00-9.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16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maleato de </w:t>
            </w:r>
            <w:proofErr w:type="spellStart"/>
            <w:r w:rsidRPr="002B64EE">
              <w:rPr>
                <w:strike/>
              </w:rPr>
              <w:t>asenapina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85650-56-2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maleato de </w:t>
            </w:r>
            <w:proofErr w:type="spellStart"/>
            <w:r w:rsidRPr="002B64EE">
              <w:rPr>
                <w:strike/>
              </w:rPr>
              <w:t>asenapina</w:t>
            </w:r>
            <w:proofErr w:type="spellEnd"/>
            <w:r w:rsidRPr="002B64EE">
              <w:rPr>
                <w:strike/>
              </w:rPr>
              <w:t xml:space="preserve"> - CAS 85650-56-2.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13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policarbofila</w:t>
            </w:r>
            <w:proofErr w:type="spellEnd"/>
            <w:r w:rsidRPr="002B64EE">
              <w:rPr>
                <w:strike/>
              </w:rPr>
              <w:t xml:space="preserve"> cálcica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9003-97-8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policarbofila</w:t>
            </w:r>
            <w:proofErr w:type="spellEnd"/>
            <w:r w:rsidRPr="002B64EE">
              <w:rPr>
                <w:strike/>
              </w:rPr>
              <w:t xml:space="preserve"> cálcica - CAS 9003-97-8  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10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saxagliptina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945667-22-1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saxagliptina</w:t>
            </w:r>
            <w:proofErr w:type="spellEnd"/>
            <w:r w:rsidRPr="002B64EE">
              <w:rPr>
                <w:strike/>
              </w:rPr>
              <w:t xml:space="preserve"> - CAS 361442-04-8.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8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saxagliptina</w:t>
            </w:r>
            <w:proofErr w:type="spellEnd"/>
            <w:r w:rsidRPr="002B64EE">
              <w:rPr>
                <w:strike/>
              </w:rPr>
              <w:t xml:space="preserve"> </w:t>
            </w:r>
            <w:proofErr w:type="spellStart"/>
            <w:r w:rsidRPr="002B64EE">
              <w:rPr>
                <w:strike/>
              </w:rPr>
              <w:t>monoidratada</w:t>
            </w:r>
            <w:proofErr w:type="spellEnd"/>
            <w:r w:rsidRPr="002B64EE">
              <w:rPr>
                <w:strike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945667-22-1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saxagliptina</w:t>
            </w:r>
            <w:proofErr w:type="spellEnd"/>
            <w:r w:rsidRPr="002B64EE">
              <w:rPr>
                <w:strike/>
              </w:rPr>
              <w:t xml:space="preserve"> </w:t>
            </w:r>
            <w:proofErr w:type="spellStart"/>
            <w:r w:rsidRPr="002B64EE">
              <w:rPr>
                <w:strike/>
              </w:rPr>
              <w:t>monoidratada</w:t>
            </w:r>
            <w:proofErr w:type="spellEnd"/>
            <w:r w:rsidRPr="002B64EE">
              <w:rPr>
                <w:strike/>
              </w:rPr>
              <w:t xml:space="preserve"> - CAS 945667-22-1.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5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lastRenderedPageBreak/>
              <w:t>09647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sugamadex</w:t>
            </w:r>
            <w:proofErr w:type="spellEnd"/>
            <w:r w:rsidRPr="002B64EE">
              <w:rPr>
                <w:strike/>
              </w:rPr>
              <w:t xml:space="preserve"> sódico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343306-79-6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sugamadex</w:t>
            </w:r>
            <w:proofErr w:type="spellEnd"/>
            <w:r w:rsidRPr="002B64EE">
              <w:rPr>
                <w:strike/>
              </w:rPr>
              <w:t xml:space="preserve"> sódico - CAS 343306-79-6.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  <w:tr w:rsidR="00F611DF" w:rsidRPr="002B64EE" w:rsidTr="00891739">
        <w:trPr>
          <w:trHeight w:val="2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09648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proofErr w:type="spellStart"/>
            <w:r w:rsidRPr="002B64EE">
              <w:rPr>
                <w:strike/>
              </w:rPr>
              <w:t>trabectedina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114899-77-3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 xml:space="preserve">Inclusão como </w:t>
            </w:r>
            <w:proofErr w:type="spellStart"/>
            <w:r w:rsidRPr="002B64EE">
              <w:rPr>
                <w:strike/>
              </w:rPr>
              <w:t>trabectedina</w:t>
            </w:r>
            <w:proofErr w:type="spellEnd"/>
            <w:r w:rsidRPr="002B64EE">
              <w:rPr>
                <w:strike/>
              </w:rPr>
              <w:t xml:space="preserve"> - CAS 114899-77-3.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611DF" w:rsidRPr="002B64EE" w:rsidRDefault="00891739" w:rsidP="00073417">
            <w:pPr>
              <w:spacing w:after="200"/>
              <w:jc w:val="center"/>
              <w:rPr>
                <w:rFonts w:eastAsia="Arial Unicode MS"/>
                <w:strike/>
              </w:rPr>
            </w:pPr>
            <w:r w:rsidRPr="002B64EE">
              <w:rPr>
                <w:strike/>
              </w:rPr>
              <w:t>Princípio ativo</w:t>
            </w:r>
          </w:p>
        </w:tc>
      </w:tr>
    </w:tbl>
    <w:p w:rsidR="00F611DF" w:rsidRPr="002B64EE" w:rsidRDefault="00F611DF" w:rsidP="00073417">
      <w:pPr>
        <w:tabs>
          <w:tab w:val="left" w:pos="1425"/>
        </w:tabs>
        <w:spacing w:after="200"/>
        <w:jc w:val="both"/>
        <w:outlineLvl w:val="0"/>
        <w:rPr>
          <w:strike/>
        </w:rPr>
      </w:pPr>
    </w:p>
    <w:p w:rsidR="00891739" w:rsidRPr="002B64EE" w:rsidRDefault="00891739" w:rsidP="00891739">
      <w:pPr>
        <w:spacing w:after="200"/>
        <w:jc w:val="both"/>
        <w:rPr>
          <w:strike/>
        </w:rPr>
      </w:pPr>
      <w:r w:rsidRPr="002B64EE">
        <w:rPr>
          <w:strike/>
        </w:rPr>
        <w:t>___________________________________</w:t>
      </w:r>
    </w:p>
    <w:p w:rsidR="00F611DF" w:rsidRPr="002B64EE" w:rsidRDefault="00891739" w:rsidP="00891739">
      <w:pPr>
        <w:spacing w:after="200"/>
        <w:jc w:val="both"/>
        <w:rPr>
          <w:strike/>
        </w:rPr>
      </w:pPr>
      <w:r w:rsidRPr="002B64EE">
        <w:rPr>
          <w:strike/>
        </w:rPr>
        <w:t>(*) Republicada por ter saído com incorreção no original, publicado no Diário Oficial da União nº 61, de 31 de março de 2008, Seção 1, pág.</w:t>
      </w:r>
      <w:proofErr w:type="gramStart"/>
      <w:r w:rsidRPr="002B64EE">
        <w:rPr>
          <w:strike/>
        </w:rPr>
        <w:t>59 .</w:t>
      </w:r>
      <w:bookmarkStart w:id="0" w:name="_GoBack"/>
      <w:bookmarkEnd w:id="0"/>
      <w:proofErr w:type="gramEnd"/>
    </w:p>
    <w:sectPr w:rsidR="00F611DF" w:rsidRPr="002B64EE" w:rsidSect="00073417">
      <w:headerReference w:type="default" r:id="rId7"/>
      <w:footerReference w:type="default" r:id="rId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417" w:rsidRDefault="00073417" w:rsidP="00073417">
      <w:r>
        <w:separator/>
      </w:r>
    </w:p>
  </w:endnote>
  <w:endnote w:type="continuationSeparator" w:id="0">
    <w:p w:rsidR="00073417" w:rsidRDefault="00073417" w:rsidP="0007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17" w:rsidRPr="00073417" w:rsidRDefault="00073417" w:rsidP="00073417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 xml:space="preserve">               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417" w:rsidRDefault="00073417" w:rsidP="00073417">
      <w:r>
        <w:separator/>
      </w:r>
    </w:p>
  </w:footnote>
  <w:footnote w:type="continuationSeparator" w:id="0">
    <w:p w:rsidR="00073417" w:rsidRDefault="00073417" w:rsidP="0007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17" w:rsidRPr="0018049F" w:rsidRDefault="00073417" w:rsidP="000734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</w:rPr>
    </w:pPr>
    <w:r w:rsidRPr="0007341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3417" w:rsidRPr="0018049F" w:rsidRDefault="00073417" w:rsidP="000734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>Ministério da Saúde - MS</w:t>
    </w:r>
  </w:p>
  <w:p w:rsidR="00073417" w:rsidRDefault="00073417" w:rsidP="0007341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 xml:space="preserve">Agência Nacional de Vigilância Sanitária </w:t>
    </w:r>
    <w:r>
      <w:rPr>
        <w:rFonts w:ascii="Calibri" w:eastAsia="Times New Roman" w:hAnsi="Calibri"/>
        <w:b/>
        <w:sz w:val="24"/>
      </w:rPr>
      <w:t>–</w:t>
    </w:r>
    <w:r w:rsidRPr="0018049F">
      <w:rPr>
        <w:rFonts w:ascii="Calibri" w:eastAsia="Times New Roman" w:hAnsi="Calibri"/>
        <w:b/>
        <w:sz w:val="24"/>
      </w:rPr>
      <w:t xml:space="preserve"> ANVISA</w:t>
    </w:r>
  </w:p>
  <w:p w:rsidR="00073417" w:rsidRDefault="000734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E71"/>
    <w:multiLevelType w:val="hybridMultilevel"/>
    <w:tmpl w:val="DF0E9C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061589"/>
    <w:multiLevelType w:val="multilevel"/>
    <w:tmpl w:val="DF0E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94393E"/>
    <w:multiLevelType w:val="hybridMultilevel"/>
    <w:tmpl w:val="71E4A8D8"/>
    <w:lvl w:ilvl="0" w:tplc="93AE25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17"/>
    <w:rsid w:val="00073417"/>
    <w:rsid w:val="002B64EE"/>
    <w:rsid w:val="00891739"/>
    <w:rsid w:val="00F6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80A87D8"/>
  <w14:defaultImageDpi w14:val="0"/>
  <w15:docId w15:val="{C737457E-1AE1-40BC-A70B-8AA8F1AF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spacing w:line="280" w:lineRule="atLeast"/>
      <w:jc w:val="both"/>
    </w:pPr>
    <w:rPr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734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3417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734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341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3417"/>
    <w:pPr>
      <w:spacing w:after="200" w:line="288" w:lineRule="auto"/>
      <w:ind w:left="720"/>
      <w:contextualSpacing/>
    </w:pPr>
    <w:rPr>
      <w:rFonts w:ascii="Calisto MT" w:hAnsi="Calisto MT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8835C-84DB-4068-B18A-3F4101DE5B86}"/>
</file>

<file path=customXml/itemProps2.xml><?xml version="1.0" encoding="utf-8"?>
<ds:datastoreItem xmlns:ds="http://schemas.openxmlformats.org/officeDocument/2006/customXml" ds:itemID="{837C30D9-2E5B-42FE-8850-D967A1EA87E1}"/>
</file>

<file path=customXml/itemProps3.xml><?xml version="1.0" encoding="utf-8"?>
<ds:datastoreItem xmlns:ds="http://schemas.openxmlformats.org/officeDocument/2006/customXml" ds:itemID="{A792B298-9897-45AF-BFDE-A1F0163E98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- RDC Nº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</dc:title>
  <dc:subject/>
  <dc:creator>lidiane.moraes</dc:creator>
  <cp:keywords/>
  <dc:description/>
  <cp:lastModifiedBy>Raianne Liberal Coutinho</cp:lastModifiedBy>
  <cp:revision>4</cp:revision>
  <dcterms:created xsi:type="dcterms:W3CDTF">2018-01-17T18:50:00Z</dcterms:created>
  <dcterms:modified xsi:type="dcterms:W3CDTF">2018-06-07T16:53:00Z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