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9E9" w:rsidRPr="00BE60C3" w:rsidRDefault="00CB19E9" w:rsidP="00CB19E9">
      <w:pPr>
        <w:pStyle w:val="Ttulo1"/>
        <w:divId w:val="445782378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BE60C3">
        <w:rPr>
          <w:rFonts w:ascii="Times New Roman" w:hAnsi="Times New Roman" w:cs="Times New Roman"/>
          <w:sz w:val="22"/>
          <w:szCs w:val="22"/>
        </w:rPr>
        <w:t xml:space="preserve">RESOLUÇÃO DA DIRETORIA COLEGIADA – </w:t>
      </w:r>
      <w:r w:rsidR="00BE60C3" w:rsidRPr="00BE60C3">
        <w:rPr>
          <w:rFonts w:ascii="Times New Roman" w:hAnsi="Times New Roman" w:cs="Times New Roman"/>
          <w:sz w:val="22"/>
          <w:szCs w:val="22"/>
        </w:rPr>
        <w:t>RDC Nº 23 DE 4 DE ABRIL DE 2012</w:t>
      </w:r>
    </w:p>
    <w:p w:rsidR="00BE60C3" w:rsidRPr="00BE60C3" w:rsidRDefault="00BE60C3" w:rsidP="00BE60C3">
      <w:pPr>
        <w:jc w:val="center"/>
        <w:divId w:val="445782378"/>
        <w:rPr>
          <w:b/>
          <w:iCs/>
          <w:color w:val="0000FF"/>
        </w:rPr>
      </w:pPr>
      <w:r w:rsidRPr="00BE60C3">
        <w:rPr>
          <w:b/>
          <w:iCs/>
          <w:color w:val="0000FF"/>
        </w:rPr>
        <w:t>(Publicada no DOU nº 68, de 9 de abril de 2012)</w:t>
      </w:r>
    </w:p>
    <w:p w:rsidR="00CB19E9" w:rsidRPr="00BE60C3" w:rsidRDefault="00CB19E9" w:rsidP="00E132A1">
      <w:pPr>
        <w:ind w:left="3969"/>
        <w:jc w:val="both"/>
        <w:divId w:val="445782378"/>
        <w:rPr>
          <w:iCs/>
        </w:rPr>
      </w:pPr>
      <w:r w:rsidRPr="00BE60C3">
        <w:rPr>
          <w:iCs/>
        </w:rPr>
        <w:t>Dispõe sobre a obrigatoriedade de execução e notificação de ações de campo por detentores de registro de produtos para a saúde no Brasil.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rPr>
          <w:bCs/>
        </w:rPr>
        <w:t>A Diretoria Colegiada da Agência Nacional de Vigilância Sanitária</w:t>
      </w:r>
      <w:r w:rsidRPr="00BE60C3">
        <w:t>, no uso da atribuição que lhe confere o inciso IV do art. 11 do Regulamento aprovado pelo Decreto n° 3.029, de 16 de abril de 1999, e tendo em vista o disposto no inciso II e nos §§ 1° e 3° do art. 54 do Regimento Interno aprovado nos termos do Anexo I da Portaria n° 354 da ANVISA, de 11 de agosto de 2006, republicada no DOU de 21 de agosto de 2006, em reunião realizada em 24 de Janeiro de 2012,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adota a seguinte Resolução de Diretoria Colegiada e eu, Diretor-Presidente, determino a sua publicação: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CAPÍTULO I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DAS DISPOSIÇÕES INICIAIS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Seção I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Objeto</w:t>
      </w:r>
    </w:p>
    <w:p w:rsidR="00CB19E9" w:rsidRPr="00BE60C3" w:rsidRDefault="00CB19E9" w:rsidP="00CB19E9">
      <w:pPr>
        <w:pStyle w:val="Textodecomentrio"/>
        <w:spacing w:before="100" w:beforeAutospacing="1" w:after="100" w:afterAutospacing="1"/>
        <w:ind w:firstLine="567"/>
        <w:jc w:val="both"/>
        <w:divId w:val="445782378"/>
        <w:rPr>
          <w:sz w:val="24"/>
          <w:szCs w:val="24"/>
        </w:rPr>
      </w:pPr>
      <w:r w:rsidRPr="00BE60C3">
        <w:rPr>
          <w:sz w:val="24"/>
          <w:szCs w:val="24"/>
        </w:rPr>
        <w:t>Art. 1º Esta Resolução define as situações em que são obrigatórias a execução e a notificação de ações de campo por parte dos detentores de registro de produtos para a saúde no Brasil, estabelecendo seus requisitos mínimos.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rPr>
          <w:bCs/>
        </w:rPr>
        <w:t xml:space="preserve">Art. 2° </w:t>
      </w:r>
      <w:r w:rsidRPr="00BE60C3">
        <w:t>Entende-se por detentor de registro de produto para a saúde o titular do registro/cadastro de produto para a saúde junto à Anvisa.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rPr>
          <w:bCs/>
        </w:rPr>
        <w:t>Parágrafo único.</w:t>
      </w:r>
      <w:r w:rsidRPr="00BE60C3">
        <w:t xml:space="preserve"> O detentor de registro, bem como os demais agentes envolvidos desde a produção até o uso do produto, ou descarte deste quando couber, são solidariamente responsáveis pela manutenção da qualidade, segurança e eficácia dos produtos para a saúde até o consumidor final.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Seção II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Definições</w:t>
      </w:r>
    </w:p>
    <w:p w:rsidR="00CB19E9" w:rsidRPr="00BE60C3" w:rsidRDefault="00CB19E9" w:rsidP="00CB19E9">
      <w:pPr>
        <w:ind w:firstLine="567"/>
        <w:jc w:val="both"/>
        <w:divId w:val="445782378"/>
        <w:rPr>
          <w:bCs/>
        </w:rPr>
      </w:pPr>
      <w:r w:rsidRPr="00BE60C3">
        <w:rPr>
          <w:bCs/>
        </w:rPr>
        <w:t>Art. 3° Para efeito desta Resolução são adotadas as seguintes definições: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lastRenderedPageBreak/>
        <w:t>I - Ação de Campo: ação realizada pelo fabricante ou detentor de registro de produto para a saúde, com objetivo de reduzir o risco de ocorrência de evento adverso relacionado ao uso de produto para saúde já comercializado;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II – Mensagem de Alerta: comunicação feita pelo detentor de registro a profissionais de saúde, pacientes, usuários, setor regulado, outros interessados ou comunidade em geral, cujo objetivo é informar a respeito do risco de ocorrência de evento adverso relacionado ao uso de produto para a saúde;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</w:pPr>
      <w:r w:rsidRPr="00BE60C3">
        <w:t>III – Evento Adverso: qualquer efeito não desejado, em humanos, decorrente do uso de produtos sob vigilância sanitária;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</w:pPr>
      <w:r w:rsidRPr="00BE60C3">
        <w:t>IV – Evento Adverso Grave: evento adverso que se enquadra em pelo menos uma das seguintes situações: (a) leva a óbito; (b) causa deficiência ou dano permanente em uma estrutura do organismo; (c) requer intervenção médica ou cirúrgica a fim de prevenir o comprometimento permanente de uma função ou estrutura do organismo; (d) exige hospitalização do paciente ou prolongamento da hospitalização; e (e) leva a perturbação ou risco fetal, morte fetal ou anomalia congênita;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color w:val="000000"/>
        </w:rPr>
      </w:pPr>
      <w:r w:rsidRPr="00BE60C3">
        <w:rPr>
          <w:color w:val="000000"/>
        </w:rPr>
        <w:t>V – Séria ameaça à saúde pública: qualquer tipo de ocorrência que resulta em risco iminente de morte, lesão grave ou doença séria que requer uma rápida medida corretiva.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CAPÍTULO II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DA OBRIGATORIEDADE DE REALIZAÇÃO DE AÇÕES DE CAMPO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Art. 4º O detentor de registro deve iniciar, o mais rapidamente possível, uma ação de campo sempre que houver indícios suficientes ou comprovação de que um produto para a saúde não atende aos requisitos essenciais de segurança e eficácia aplicáveis a este produto.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§ 1º A ação de campo deve ser planejada e executada com o objetivo de minimizar o risco à saúde de forma efetiva e oportuna.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rPr>
          <w:bCs/>
        </w:rPr>
        <w:t>§ 2º</w:t>
      </w:r>
      <w:r w:rsidRPr="00BE60C3">
        <w:t xml:space="preserve"> Cabe ao detentor de registro indicar a necessidade da suspensão da comercialização/importação do lote ou série afetado, salvo quando definido pelo Sistema Nacional de Vigilância Sanitária (SNVS).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Art. 5º O detentor de registro deve elaborar, aplicar e manter atualizados procedimentos operacionais escritos para as ações de campo de sua responsabilidade.</w:t>
      </w:r>
    </w:p>
    <w:p w:rsidR="00CB19E9" w:rsidRPr="00BE60C3" w:rsidRDefault="00CB19E9" w:rsidP="00CB19E9">
      <w:pPr>
        <w:pStyle w:val="Textodecomentrio"/>
        <w:spacing w:before="100" w:beforeAutospacing="1" w:after="100" w:afterAutospacing="1"/>
        <w:ind w:firstLine="567"/>
        <w:jc w:val="both"/>
        <w:divId w:val="445782378"/>
        <w:rPr>
          <w:sz w:val="24"/>
          <w:szCs w:val="24"/>
        </w:rPr>
      </w:pPr>
      <w:r w:rsidRPr="00BE60C3">
        <w:rPr>
          <w:sz w:val="24"/>
          <w:szCs w:val="24"/>
        </w:rPr>
        <w:t>Art. 6º O SNVS determinará, quando identificado risco à saúde, a execução de ações de campo que julgar apropriadas, independentemente das iniciativas tomadas pelo detentor de registro.</w:t>
      </w:r>
    </w:p>
    <w:p w:rsidR="00BE60C3" w:rsidRDefault="00BE60C3">
      <w:pPr>
        <w:spacing w:before="0" w:beforeAutospacing="0" w:after="0" w:afterAutospacing="0"/>
        <w:rPr>
          <w:bCs/>
        </w:rPr>
      </w:pPr>
      <w:r>
        <w:rPr>
          <w:bCs/>
        </w:rPr>
        <w:br w:type="page"/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lastRenderedPageBreak/>
        <w:t>CAPÍTULO III</w:t>
      </w:r>
    </w:p>
    <w:p w:rsidR="00CB19E9" w:rsidRPr="00BE60C3" w:rsidRDefault="00CB19E9" w:rsidP="00CB19E9">
      <w:pPr>
        <w:jc w:val="center"/>
        <w:divId w:val="445782378"/>
        <w:rPr>
          <w:b/>
        </w:rPr>
      </w:pPr>
      <w:r w:rsidRPr="00BE60C3">
        <w:rPr>
          <w:b/>
        </w:rPr>
        <w:t>DA MENSAGEM DE ALERTA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Art. 7º O detentor de registro deve divulgar, o mais rapidamente possível, mensagem de alerta referente a ação de campo de sua responsabilidade, expressa de maneira clara e objetiva e contendo, no mínimo, informações sobre: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 – O problema;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II – O produto (número de registro/cadastro, nome do produto, modelo e lote/série afetada);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III – O risco relacionado ao problema;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</w:pPr>
      <w:r w:rsidRPr="00BE60C3">
        <w:rPr>
          <w:bCs/>
        </w:rPr>
        <w:t>IV – Orientações p</w:t>
      </w:r>
      <w:r w:rsidRPr="00BE60C3">
        <w:t>ara profissionais de saúde, pacientes, usuários, setor regulado, outros interessados ou comunidade em geral.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t xml:space="preserve">Parágrafo único. </w:t>
      </w:r>
      <w:r w:rsidRPr="00BE60C3">
        <w:rPr>
          <w:bCs/>
        </w:rPr>
        <w:t>Cabe ao detentor de registro selecionar e utilizar o(s) meio(s) de comunicação mais efetivo(s) para a divulgação da mensagem de alerta.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CAPÍTULO IV</w:t>
      </w:r>
    </w:p>
    <w:p w:rsidR="00CB19E9" w:rsidRPr="00BE60C3" w:rsidRDefault="00CB19E9" w:rsidP="00CB19E9">
      <w:pPr>
        <w:jc w:val="center"/>
        <w:divId w:val="445782378"/>
        <w:rPr>
          <w:b/>
        </w:rPr>
      </w:pPr>
      <w:r w:rsidRPr="00BE60C3">
        <w:rPr>
          <w:b/>
        </w:rPr>
        <w:t>DA ANUÊNCIA PRÉVIA DA MENSAGEM DE ALERTA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Art. 8º Em caso de necessidade de utilização de veículo de mídia de grande circulação para a divulgação da mensagem de alerta, o detentor de registro deve submeter tal mensagem à anuência prévia da Anvisa, conforme estabelece o art. 41-B da Lei 9.782/99, em até 5 dias corridos contados a partir da decisão da realização da ação de campo.</w:t>
      </w:r>
    </w:p>
    <w:p w:rsidR="00CB19E9" w:rsidRPr="00BE60C3" w:rsidRDefault="00CB19E9" w:rsidP="00CB19E9">
      <w:pPr>
        <w:ind w:firstLine="567"/>
        <w:jc w:val="both"/>
        <w:divId w:val="445782378"/>
        <w:rPr>
          <w:bCs/>
        </w:rPr>
      </w:pPr>
      <w:r w:rsidRPr="00BE60C3">
        <w:t xml:space="preserve">§ 1º </w:t>
      </w:r>
      <w:r w:rsidRPr="00BE60C3">
        <w:rPr>
          <w:bCs/>
        </w:rPr>
        <w:t>A submissão das informações tratadas neste artigo deve ser realizada em formulário específico definido pela Anvisa.</w:t>
      </w:r>
    </w:p>
    <w:p w:rsidR="00CB19E9" w:rsidRPr="00BE60C3" w:rsidRDefault="00E66C31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>
        <w:t xml:space="preserve">§ </w:t>
      </w:r>
      <w:r w:rsidR="00CB19E9" w:rsidRPr="00BE60C3">
        <w:t xml:space="preserve">2º </w:t>
      </w:r>
      <w:r w:rsidR="00CB19E9" w:rsidRPr="00BE60C3">
        <w:rPr>
          <w:bCs/>
        </w:rPr>
        <w:t xml:space="preserve">O formulário também deve ser enviado para o e-mail </w:t>
      </w:r>
      <w:hyperlink r:id="rId7" w:history="1">
        <w:r w:rsidR="00CB19E9" w:rsidRPr="00BE60C3">
          <w:rPr>
            <w:rStyle w:val="Hyperlink"/>
            <w:bCs/>
          </w:rPr>
          <w:t>recall.utvig@anvisa.gov.br</w:t>
        </w:r>
      </w:hyperlink>
      <w:r w:rsidR="00CB19E9" w:rsidRPr="00BE60C3">
        <w:rPr>
          <w:bCs/>
        </w:rPr>
        <w:t>, com a previsão da data de divulgação da mensagem em mídia de grande circulação.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t xml:space="preserve">§ 3º </w:t>
      </w:r>
      <w:r w:rsidRPr="00BE60C3">
        <w:rPr>
          <w:bCs/>
        </w:rPr>
        <w:t>Após a protocolização do formulário a Anvisa pode aprovar o conteúdo e a forma da mensagem de alerta ou apontar as correções necessárias.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t xml:space="preserve">§ 4º </w:t>
      </w:r>
      <w:r w:rsidRPr="00BE60C3">
        <w:rPr>
          <w:bCs/>
        </w:rPr>
        <w:t>Após a anuência da Anvisa, o detentor de registro deve promover imediatamente a veiculação da mensagem de alerta.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t xml:space="preserve">§ 5º </w:t>
      </w:r>
      <w:r w:rsidRPr="00BE60C3">
        <w:rPr>
          <w:bCs/>
        </w:rPr>
        <w:t>A anuência prévia não exime a empresa de enviar o formulário de notificação de ação de campo, previsto no art. 9° desta Resolução.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lastRenderedPageBreak/>
        <w:t>CAPÍTULO V</w:t>
      </w:r>
    </w:p>
    <w:p w:rsidR="00CB19E9" w:rsidRPr="00BE60C3" w:rsidRDefault="00CB19E9" w:rsidP="00CB19E9">
      <w:pPr>
        <w:jc w:val="center"/>
        <w:divId w:val="445782378"/>
        <w:rPr>
          <w:b/>
        </w:rPr>
      </w:pPr>
      <w:r w:rsidRPr="00BE60C3">
        <w:rPr>
          <w:b/>
        </w:rPr>
        <w:t>DA NOTIFICAÇÃO DAS AÇÕES DE CAMPO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Art. 9º O detentor de registro deve notificar a Anvisa sobre a realização de ação de campo envolvendo produto para a saúde de sua responsabilidade, de acordo com os seguintes prazos e condições: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 – Em até 3 dias corridos, em caso de necessidade de utilização de veículo de mídia de grande circulação para a divulgação da mensagem de alerta;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II – Em até 3 dias corridos, em caso de séria ameaça à saúde pública;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III – Em até 10 dias corridos, quando identificado risco de ocorrência de evento adverso grave e a situação não se enquadrar nos incisos I ou II deste artigo;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IV – Em até 30 dias corridos, quando a situação não se enquadrar nos incisos I, II ou III deste artigo.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</w:pPr>
      <w:r w:rsidRPr="00BE60C3">
        <w:t>§</w:t>
      </w:r>
      <w:r w:rsidRPr="00BE60C3">
        <w:rPr>
          <w:color w:val="FFFFFF"/>
        </w:rPr>
        <w:t>.</w:t>
      </w:r>
      <w:r w:rsidRPr="00BE60C3">
        <w:t>1º Os prazos definidos neste artigo devem ser contados a partir da decisão de realização da ação de campo.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t>§</w:t>
      </w:r>
      <w:r w:rsidRPr="00BE60C3">
        <w:rPr>
          <w:color w:val="FFFFFF"/>
        </w:rPr>
        <w:t>.</w:t>
      </w:r>
      <w:r w:rsidRPr="00BE60C3">
        <w:t xml:space="preserve">2º </w:t>
      </w:r>
      <w:r w:rsidRPr="00BE60C3">
        <w:rPr>
          <w:bCs/>
        </w:rPr>
        <w:t>A notificação deve ser feita por meio de formulário específico, definido pela Anvisa.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t>§</w:t>
      </w:r>
      <w:r w:rsidRPr="00BE60C3">
        <w:rPr>
          <w:color w:val="FFFFFF"/>
        </w:rPr>
        <w:t>.</w:t>
      </w:r>
      <w:r w:rsidRPr="00BE60C3">
        <w:t>3º A Anvisa poderá solicitar a revisão, alteração ou complementação das informações</w:t>
      </w:r>
      <w:r w:rsidRPr="00BE60C3">
        <w:rPr>
          <w:bCs/>
        </w:rPr>
        <w:t xml:space="preserve"> </w:t>
      </w:r>
      <w:r w:rsidRPr="00BE60C3">
        <w:t>apresentadas pelo detentor de registro.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CAPÍTULO VI</w:t>
      </w:r>
    </w:p>
    <w:p w:rsidR="00CB19E9" w:rsidRPr="00BE60C3" w:rsidRDefault="00CB19E9" w:rsidP="00CB19E9">
      <w:pPr>
        <w:jc w:val="center"/>
        <w:divId w:val="445782378"/>
        <w:rPr>
          <w:b/>
        </w:rPr>
      </w:pPr>
      <w:r w:rsidRPr="00BE60C3">
        <w:rPr>
          <w:b/>
        </w:rPr>
        <w:t>DOS RELATÓRIOS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Art. 10 O detentor de registro deve apresentar à Anvisa relatórios de monitoramento e relatório de conclusão da ação de campo.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§ 1º Os relatórios devem ser enviados nas datas declaradas no plano de ação do formulário de notificação apresentado pelo detentor de registro.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§ 2º Juntamente com o relatório de conclusão deve ser enviada uma cópia de documentação comprobatória da finalização da ação de campo ou declaração de que tal documentação se encontra na empresa (detentor de registro).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§ 3º Os relatórios de monitoramento de ação de campo devem ser enviados conforme modelo definido pela Anvisa.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lastRenderedPageBreak/>
        <w:t>Art. 11 A Anvisa poderá solicitar a apresentação de relatórios em datas diferentes daquelas informadas no plano de ação da empresa.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  <w:bCs/>
        </w:rPr>
        <w:t>CAPÍTULO VII</w:t>
      </w:r>
    </w:p>
    <w:p w:rsidR="00CB19E9" w:rsidRPr="00BE60C3" w:rsidRDefault="00CB19E9" w:rsidP="00CB19E9">
      <w:pPr>
        <w:jc w:val="center"/>
        <w:divId w:val="445782378"/>
        <w:rPr>
          <w:b/>
          <w:bCs/>
        </w:rPr>
      </w:pPr>
      <w:r w:rsidRPr="00BE60C3">
        <w:rPr>
          <w:b/>
        </w:rPr>
        <w:t>DAS</w:t>
      </w:r>
      <w:r w:rsidRPr="00BE60C3">
        <w:rPr>
          <w:b/>
          <w:bCs/>
        </w:rPr>
        <w:t xml:space="preserve"> DISPOSIÇÕES FINAIS E TRANSITÓRIAS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Art. 12 Os distribuidores de produtos para a saúde devem encaminhar para o detentor de registro, em tempo hábil, o mapa de distribuição e outras informações solicitadas para a notificação e execução de ações de campo.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Art. 13 Nas situações em que o produto para a saúde sujeito a ação de campo foi ou ainda está sendo utilizado, o detentor de registro deve prestar assistência aos usuários, pacientes ou outras pessoas envolvidas, de maneira a tornar aceitável o risco associado ao uso do produto e reduzir os efeitos dos danos já ocorridos.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t>Art. 14 Os produtos recolhidos devem ser identificados e segregados em áreas separadas e seguras, até a definição de seu destino final.</w:t>
      </w:r>
    </w:p>
    <w:p w:rsidR="00CB19E9" w:rsidRPr="00BE60C3" w:rsidRDefault="00CB19E9" w:rsidP="00CB19E9">
      <w:pPr>
        <w:ind w:firstLine="567"/>
        <w:jc w:val="both"/>
        <w:divId w:val="445782378"/>
        <w:rPr>
          <w:bCs/>
        </w:rPr>
      </w:pPr>
      <w:r w:rsidRPr="00BE60C3">
        <w:rPr>
          <w:bCs/>
        </w:rPr>
        <w:t>Parágrafo único. Nos casos em que a ação de campo não requeira recolhimento, o produto alvo dessa ação deve ser devidamente identificado, e segregado quando couber, para evitar utilização inadvertida.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  <w:rPr>
          <w:bCs/>
        </w:rPr>
      </w:pPr>
      <w:r w:rsidRPr="00BE60C3">
        <w:rPr>
          <w:bCs/>
        </w:rPr>
        <w:t>Art. 15 A inutilização dos produtos para a saúde recolhidos, quando necessária, é de responsabilidade do detentor de registro, respeitadas as normas vigentes relativas à destinação de resíduos.</w:t>
      </w:r>
    </w:p>
    <w:p w:rsidR="00CB19E9" w:rsidRPr="00BE60C3" w:rsidRDefault="00CB19E9" w:rsidP="00CB19E9">
      <w:pPr>
        <w:ind w:firstLine="567"/>
        <w:jc w:val="both"/>
        <w:divId w:val="445782378"/>
        <w:rPr>
          <w:bCs/>
        </w:rPr>
      </w:pPr>
      <w:r w:rsidRPr="00BE60C3">
        <w:t xml:space="preserve">Parágrafo único. </w:t>
      </w:r>
      <w:r w:rsidRPr="00BE60C3">
        <w:rPr>
          <w:bCs/>
        </w:rPr>
        <w:t>A inutilização do produto recolhido implica na sua descaracterização completa como produto para saúde.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</w:pPr>
      <w:r w:rsidRPr="00BE60C3">
        <w:rPr>
          <w:bCs/>
        </w:rPr>
        <w:t>Art. 16</w:t>
      </w:r>
      <w:r w:rsidRPr="00BE60C3">
        <w:t xml:space="preserve"> O detentor de registro deve manter um arquivo </w:t>
      </w:r>
      <w:r w:rsidRPr="00BE60C3">
        <w:rPr>
          <w:bCs/>
        </w:rPr>
        <w:t xml:space="preserve">atualizado de documentos e registros referentes às suas ações de campo, </w:t>
      </w:r>
      <w:r w:rsidRPr="00BE60C3">
        <w:t>estruturado de forma a garantir a rastreabilidade das informações e a rápida recuperação de dados e informações.</w:t>
      </w:r>
    </w:p>
    <w:p w:rsidR="00CB19E9" w:rsidRPr="00BE60C3" w:rsidRDefault="00CB19E9" w:rsidP="00CB19E9">
      <w:pPr>
        <w:autoSpaceDE w:val="0"/>
        <w:autoSpaceDN w:val="0"/>
        <w:adjustRightInd w:val="0"/>
        <w:ind w:firstLine="567"/>
        <w:jc w:val="both"/>
        <w:divId w:val="445782378"/>
      </w:pPr>
      <w:r w:rsidRPr="00BE60C3">
        <w:t>Parágrafo único. Devem fazer parte do arquivo citado no caput deste artigo os registros comprobatórios de envio e recebimento de correspondência, bem como os registros e documentos comprobatórios de finalização das ações de campo iniciadas pelo detentor de registro.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rPr>
          <w:bCs/>
        </w:rPr>
        <w:t xml:space="preserve">Art. 17 </w:t>
      </w:r>
      <w:r w:rsidRPr="00BE60C3">
        <w:t>O descumprimento das disposições contidas nesta Resolução constitui infração sanitária, nos termos da Lei º 6.437, de 20 de agosto de 1977, sem prejuízo das responsabilidades civil, administrativa e penal cabíveis, incluindo aquelas estabelecidas pela Lei nº 8.078, de 11 de setembro de 1990.</w:t>
      </w:r>
    </w:p>
    <w:p w:rsidR="00CB19E9" w:rsidRPr="00BE60C3" w:rsidRDefault="00CB19E9" w:rsidP="00CB19E9">
      <w:pPr>
        <w:ind w:firstLine="567"/>
        <w:jc w:val="both"/>
        <w:divId w:val="445782378"/>
      </w:pPr>
      <w:r w:rsidRPr="00BE60C3">
        <w:rPr>
          <w:bCs/>
        </w:rPr>
        <w:lastRenderedPageBreak/>
        <w:t xml:space="preserve">Art. 18 </w:t>
      </w:r>
      <w:r w:rsidRPr="00BE60C3">
        <w:t>Cabe à Anvisa e aos demais entes do SNVS, no âmbito de suas competências e mediante pactuação de responsabilidades, a adoção de medidas ou procedimentos para os casos não previstos nesta Resolução.</w:t>
      </w:r>
    </w:p>
    <w:p w:rsidR="00CB19E9" w:rsidRPr="00BE60C3" w:rsidRDefault="00CB19E9" w:rsidP="00CB19E9">
      <w:pPr>
        <w:ind w:firstLine="567"/>
        <w:jc w:val="both"/>
        <w:divId w:val="445782378"/>
        <w:rPr>
          <w:bCs/>
        </w:rPr>
      </w:pPr>
      <w:r w:rsidRPr="00BE60C3">
        <w:rPr>
          <w:bCs/>
        </w:rPr>
        <w:t>Art. 19 Fica estabelecido o prazo de 360 (trezentos e sessenta) dias para os detentores de registro de produtos para a saúde se adequarem a esta Resolução.</w:t>
      </w:r>
    </w:p>
    <w:p w:rsidR="00CB19E9" w:rsidRPr="00BE60C3" w:rsidRDefault="00CB19E9" w:rsidP="00CB19E9">
      <w:pPr>
        <w:ind w:firstLine="567"/>
        <w:jc w:val="both"/>
        <w:divId w:val="445782378"/>
        <w:rPr>
          <w:bCs/>
        </w:rPr>
      </w:pPr>
      <w:r w:rsidRPr="00BE60C3">
        <w:rPr>
          <w:bCs/>
        </w:rPr>
        <w:t>Art. 20 Esta Resolução entra em vigor na data de sua publicação.</w:t>
      </w:r>
    </w:p>
    <w:p w:rsidR="00CB19E9" w:rsidRPr="00BE60C3" w:rsidRDefault="00CB19E9" w:rsidP="00CB19E9">
      <w:pPr>
        <w:pStyle w:val="Ttulo2"/>
        <w:divId w:val="445782378"/>
        <w:rPr>
          <w:rFonts w:ascii="Times New Roman" w:hAnsi="Times New Roman" w:cs="Times New Roman"/>
          <w:sz w:val="24"/>
          <w:szCs w:val="24"/>
        </w:rPr>
      </w:pPr>
      <w:r w:rsidRPr="00BE60C3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CB19E9" w:rsidRPr="00BE60C3" w:rsidSect="00BE60C3">
      <w:headerReference w:type="default" r:id="rId8"/>
      <w:footerReference w:type="default" r:id="rId9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4F2" w:rsidRDefault="003F74F2" w:rsidP="00BE60C3">
      <w:pPr>
        <w:spacing w:before="0" w:after="0"/>
      </w:pPr>
      <w:r>
        <w:separator/>
      </w:r>
    </w:p>
  </w:endnote>
  <w:endnote w:type="continuationSeparator" w:id="0">
    <w:p w:rsidR="003F74F2" w:rsidRDefault="003F74F2" w:rsidP="00BE60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C3" w:rsidRPr="008A0471" w:rsidRDefault="00BE60C3" w:rsidP="00BE60C3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4F2" w:rsidRDefault="003F74F2" w:rsidP="00BE60C3">
      <w:pPr>
        <w:spacing w:before="0" w:after="0"/>
      </w:pPr>
      <w:r>
        <w:separator/>
      </w:r>
    </w:p>
  </w:footnote>
  <w:footnote w:type="continuationSeparator" w:id="0">
    <w:p w:rsidR="003F74F2" w:rsidRDefault="003F74F2" w:rsidP="00BE60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C3" w:rsidRPr="00B517AC" w:rsidRDefault="003F74F2" w:rsidP="00BE60C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3F74F2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60C3" w:rsidRPr="00B517AC" w:rsidRDefault="00BE60C3" w:rsidP="00BE60C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BE60C3" w:rsidRPr="00B517AC" w:rsidRDefault="00BE60C3" w:rsidP="00BE60C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BE60C3" w:rsidRPr="00BE60C3" w:rsidRDefault="00BE60C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4881"/>
    <w:rsid w:val="00074AC0"/>
    <w:rsid w:val="000C2183"/>
    <w:rsid w:val="00390848"/>
    <w:rsid w:val="003F74F2"/>
    <w:rsid w:val="00652E8A"/>
    <w:rsid w:val="00771958"/>
    <w:rsid w:val="007F585C"/>
    <w:rsid w:val="008A0471"/>
    <w:rsid w:val="008B7BC0"/>
    <w:rsid w:val="008D770F"/>
    <w:rsid w:val="00A53197"/>
    <w:rsid w:val="00A533A1"/>
    <w:rsid w:val="00AF43E7"/>
    <w:rsid w:val="00B517AC"/>
    <w:rsid w:val="00BC5F27"/>
    <w:rsid w:val="00BE60C3"/>
    <w:rsid w:val="00BE676D"/>
    <w:rsid w:val="00C95A0B"/>
    <w:rsid w:val="00CB19E9"/>
    <w:rsid w:val="00DF7C19"/>
    <w:rsid w:val="00E132A1"/>
    <w:rsid w:val="00E66C3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CB19E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8238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37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call.utvig@anvisa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1565</Words>
  <Characters>8455</Characters>
  <Application>Microsoft Office Word</Application>
  <DocSecurity>0</DocSecurity>
  <Lines>70</Lines>
  <Paragraphs>19</Paragraphs>
  <ScaleCrop>false</ScaleCrop>
  <Company>ANVISA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2017-12-19T19:10:00Z</cp:lastPrinted>
  <dcterms:created xsi:type="dcterms:W3CDTF">2018-08-16T18:37:00Z</dcterms:created>
  <dcterms:modified xsi:type="dcterms:W3CDTF">2018-08-16T18:37:00Z</dcterms:modified>
</cp:coreProperties>
</file>