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052" w:rsidRPr="00AA5909" w:rsidRDefault="00215052" w:rsidP="002C3011">
      <w:pPr>
        <w:spacing w:line="240" w:lineRule="auto"/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AA5909">
        <w:rPr>
          <w:rFonts w:ascii="Times New Roman" w:hAnsi="Times New Roman" w:cs="Times New Roman"/>
          <w:b/>
          <w:szCs w:val="24"/>
        </w:rPr>
        <w:t>RESOLUÇÃO</w:t>
      </w:r>
      <w:r w:rsidR="00AA5909" w:rsidRPr="00AA5909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AA5909">
        <w:rPr>
          <w:rFonts w:ascii="Times New Roman" w:hAnsi="Times New Roman" w:cs="Times New Roman"/>
          <w:b/>
          <w:szCs w:val="24"/>
        </w:rPr>
        <w:t xml:space="preserve"> – RDC Nº 25, DE 29 DE MARÇO DE 2007(*)</w:t>
      </w:r>
    </w:p>
    <w:p w:rsidR="00215052" w:rsidRPr="00AA5909" w:rsidRDefault="00215052" w:rsidP="002C3011">
      <w:pPr>
        <w:spacing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A5909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62, de 30 de março de 2007)</w:t>
      </w:r>
    </w:p>
    <w:p w:rsidR="00215052" w:rsidRDefault="00AA5909" w:rsidP="002C3011">
      <w:pPr>
        <w:spacing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(Republicada em DOU nº 63, de </w:t>
      </w:r>
      <w:r w:rsidR="00215052" w:rsidRPr="00AA5909">
        <w:rPr>
          <w:rFonts w:ascii="Times New Roman" w:hAnsi="Times New Roman" w:cs="Times New Roman"/>
          <w:b/>
          <w:color w:val="0000FF"/>
          <w:sz w:val="24"/>
          <w:szCs w:val="24"/>
        </w:rPr>
        <w:t>2 de abril de 2007)</w:t>
      </w:r>
    </w:p>
    <w:p w:rsidR="002C3011" w:rsidRPr="00AA5909" w:rsidRDefault="002C3011" w:rsidP="002C3011">
      <w:pPr>
        <w:spacing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pela Resolução – RDC nº 234, de 20 de junho de 2018)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215052" w:rsidRPr="002C3011" w:rsidTr="00AA5909">
        <w:tc>
          <w:tcPr>
            <w:tcW w:w="4322" w:type="dxa"/>
          </w:tcPr>
          <w:p w:rsidR="00215052" w:rsidRPr="002C3011" w:rsidRDefault="00215052" w:rsidP="002C3011">
            <w:pPr>
              <w:spacing w:after="200"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215052" w:rsidRPr="002C3011" w:rsidRDefault="00215052" w:rsidP="002C3011">
            <w:pPr>
              <w:spacing w:after="200"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C3011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a terceirização de etapas de produção, de análises de controle de qualidade e de armazenamento de medicamentos.</w:t>
            </w:r>
          </w:p>
        </w:tc>
      </w:tr>
    </w:tbl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2C3011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2C3011">
        <w:rPr>
          <w:rFonts w:ascii="Times New Roman" w:hAnsi="Times New Roman" w:cs="Times New Roman"/>
          <w:strike/>
          <w:sz w:val="24"/>
          <w:szCs w:val="24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28 de março 2007, e considerando a necessidade de fixar normas relativas à terceirização de processos industriais, controle de qualidade e de armazenamento de medicamentos; considerando a MERCOSUL/GMC/Res. Nº. 61/00, internalizada pela Resolução-RDC/ANVISA nº. 210 de 04 de ago</w:t>
      </w:r>
      <w:bookmarkStart w:id="0" w:name="_GoBack"/>
      <w:bookmarkEnd w:id="0"/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sto de 2003, considerando o disposto na MERCOSUL/GMC/Res nº. 50/02; considerando o disposto no Decreto nº. 3961, de 10 de outubro de 2001; considerando o disposto na Lei 8078, de 11/09/90; considerando o constante no inciso VI do Art. 16 e </w:t>
      </w:r>
      <w:proofErr w:type="spellStart"/>
      <w:r w:rsidRPr="002C3011">
        <w:rPr>
          <w:rFonts w:ascii="Times New Roman" w:hAnsi="Times New Roman" w:cs="Times New Roman"/>
          <w:strike/>
          <w:sz w:val="24"/>
          <w:szCs w:val="24"/>
        </w:rPr>
        <w:t>arts</w:t>
      </w:r>
      <w:proofErr w:type="spellEnd"/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. 75 a 78, especialmente seu parágrafo único, da Lei 6.360 de 23 de setembro de 1976; e considerando o constante no inciso VI do Art. 18, §3º do art. 75 e dos §§ 2º e 3º do artigo 138 do Decreto nº. 79.094 de 5 de janeiro de 1977; adota a seguinte Resolução da Diretoria Colegiada e eu, Diretor-Presidente, determino a sua publicação: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2C3011">
        <w:rPr>
          <w:rFonts w:ascii="Times New Roman" w:hAnsi="Times New Roman" w:cs="Times New Roman"/>
          <w:strike/>
          <w:sz w:val="24"/>
          <w:szCs w:val="24"/>
        </w:rPr>
        <w:t>Art</w:t>
      </w:r>
      <w:proofErr w:type="spellEnd"/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 1º Instituir novas regras para a terceirização de Etapas de Produção, de Análises de Controle de Qualidade e de Armazenamento de Medicamentos. </w:t>
      </w:r>
    </w:p>
    <w:p w:rsidR="00A815D3" w:rsidRPr="002C3011" w:rsidRDefault="00A815D3" w:rsidP="002C3011">
      <w:pPr>
        <w:spacing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b/>
          <w:strike/>
          <w:sz w:val="24"/>
          <w:szCs w:val="24"/>
        </w:rPr>
        <w:t>Das Definições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2º Para efeito desta resolução adotam-se as seguintes definições: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Empresa contratante: empresa que contrata serviços de terceiros, responsável por todos os aspectos legais e técnicos vinculados com o produto ou processo objeto da terceirização.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Empresa contratada: empresa que realiza o serviço de terceirização, </w:t>
      </w:r>
      <w:proofErr w:type="spellStart"/>
      <w:r w:rsidRPr="002C3011">
        <w:rPr>
          <w:rFonts w:ascii="Times New Roman" w:hAnsi="Times New Roman" w:cs="Times New Roman"/>
          <w:strike/>
          <w:sz w:val="24"/>
          <w:szCs w:val="24"/>
        </w:rPr>
        <w:t>co-responsável</w:t>
      </w:r>
      <w:proofErr w:type="spellEnd"/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 pelos aspectos técnicos e legais, inerentes à atividade objeto da terceirização.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Contrato de Terceirização: Documento cujo conteúdo é mutuamente acordado e controlado entre as partes estabelecendo claramente as atribuições e responsabilidades de contratante e contratado.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Controle de Qualidade: Conjunto de medidas destinadas a verificar a qualidade de cada lote de medicamentos, objetivando verificar se satisfazem as normas de atividade, pureza, eficácia e segurança.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Controle em Processo: Verificações realizadas durante a produção, a fim de monitorar e, se necessário, ajustar o processo de forma a assegurar que o produto esteja em conformidade com as suas especificações. O controle do ambiente ou dos equipamentos pode também ser considerado parte integrante do controle em processo.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Armazenamento: Guarda, manuseio e conservação segura de produtos farmacêuticos.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Fabricante: Detentor da Autorização de Funcionamento de Empresa (AFE) para fabricação de medicamentos expedida pelo órgão competente do Ministério da Saúde, conforme previsto na legislação sanitária vigente.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Produção: Todas as operações envolvidas no preparo de determinado produto farmacêutico, desde o recebimento dos materiais do almoxarifado, passando pelo processamento e embalagem, até a obtenção do produto acabado;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Produto </w:t>
      </w:r>
      <w:proofErr w:type="spellStart"/>
      <w:r w:rsidRPr="002C3011">
        <w:rPr>
          <w:rFonts w:ascii="Times New Roman" w:hAnsi="Times New Roman" w:cs="Times New Roman"/>
          <w:strike/>
          <w:sz w:val="24"/>
          <w:szCs w:val="24"/>
        </w:rPr>
        <w:t>Semi-elaborado</w:t>
      </w:r>
      <w:proofErr w:type="spellEnd"/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: substância ou mistura de substâncias que requeira posteriores processos de produção, a fim de converter-se em produto a granel.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Produto a granel: Material processado que se encontra em sua forma definitiva, e que só requeira ser acondicionado ou embalado antes de converte-se em produto terminado. Os injetáveis na sua embalagem primária são considerados produto a granel.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Produto Acabado: Produto que tenha passado por todas as fases de produção e acondicionamento, pronto para venda.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Terceirização: é a prestação de serviços de terceiros para a execução de etapas de produção, análises de controle de qualidade ou armazenamento de produtos farmacêuticos.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Titular de Registro: Pessoa jurídica que possui registro de um produto, detentora de direitos sobre ele, responsável pelo produto até o consumidor final. </w:t>
      </w:r>
    </w:p>
    <w:p w:rsidR="00A815D3" w:rsidRPr="002C3011" w:rsidRDefault="00A815D3" w:rsidP="002C3011">
      <w:pPr>
        <w:spacing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C3011">
        <w:rPr>
          <w:rFonts w:ascii="Times New Roman" w:hAnsi="Times New Roman" w:cs="Times New Roman"/>
          <w:b/>
          <w:strike/>
          <w:sz w:val="24"/>
          <w:szCs w:val="24"/>
        </w:rPr>
        <w:t>Disposições Gerais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3º Todos os estabelecimentos fabricantes, importadores, armazenadores e laboratórios de controle de qualidade de medicamentos, devem cumprir com as diretrizes e exigências sanitárias para a realização de Terceirização de Etapas de Produção, Análises de Controle de Qualidade ou Armazenamento de Medicamentos contidos nesta Resolução, localizados no Brasil ou nos Estados Parte do Mercosul.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Parágrafo único: Em se tratando de empresas do mesmo grupo econômico (tidas como coligadas) dentro do território nacional, que possuam o mesmo sistema de qualidade, não se caracterizam terceirização as atividades realizadas entre si.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4º A CONTRATADA deve possuir instalações, equipamentos, conhecimento adequado, além de experiência e pessoal competente para desempenhar satisfatoriamente o serviço solicitado pelo contratante, atendendo os requisitos estabelecidos nos Regulamentos Técnicos correspondentes. </w:t>
      </w:r>
    </w:p>
    <w:p w:rsidR="00AA5909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5º A CONTRATANTE só poderá requerer da CONTRATADA a terceirização de etapas de produção, controle de qualidade ou armazenamento de produtos farmacêuticos com registro vigente junto à autoridade sanitária no Brasil.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Parágrafo único: O registro previsto no caput deste artigo não se aplica no caso de produção de lotes piloto, produtos utilizados em pesquisa clínica e placebos, devidamente documentados de acordo com a legislação específica vigente.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6º Os estabelecimentos das empresas CONTRATANTE e CONTRATADA, devem cumprir com os regulamentos vigentes nos Estados Partes do Mercosul, bem como dispor da seguinte documentação: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a) Contrato entre a Empresa Titular de Registro de produtos farmacêuticos no Estado Parte Produtor e a Empresa Representante no Estado Parte Receptor.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b) Contar com os respectivos certificados de Boas Práticas de Fabricação.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7º Cada contrato de terceirização, deve definir com clareza as etapas de produção, as análises de controle de qualidade ou o armazenamento de medicamentos, assim como, qualquer aspecto técnico e operacional acordado a respeito do objeto do contrato.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>Art. 8º</w:t>
      </w:r>
      <w:r w:rsidR="00AA5909" w:rsidRPr="002C301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As partes devem garantir o cumprimento das Boas Práticas de Fabricação, (Produção, Controle de Qualidade ou Armazenamento, conforme o caso) na execução do contrato.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9º A CONTRATADA não poderá </w:t>
      </w:r>
      <w:proofErr w:type="spellStart"/>
      <w:r w:rsidRPr="002C3011">
        <w:rPr>
          <w:rFonts w:ascii="Times New Roman" w:hAnsi="Times New Roman" w:cs="Times New Roman"/>
          <w:strike/>
          <w:sz w:val="24"/>
          <w:szCs w:val="24"/>
        </w:rPr>
        <w:t>sub-contratar</w:t>
      </w:r>
      <w:proofErr w:type="spellEnd"/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, em todo ou em parte, o objeto do contrato.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10 A CONTRATANTE deve fornecer à CONTRATADA todas as informações necessárias para que a mesma realize as operações contratadas de acordo com o registro junto a autoridade sanitária competente, bem como qualquer outra exigência legal.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11 Os contratos firmados entre as partes deverão estar disponíveis a qualquer momento para apresentação às autoridades sanitárias.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12 Todas as alterações pós-registro decorrentes de terceirização previstas na legislação em vigor deverão ser peticionadas à área de registro competente da ANVISA. </w:t>
      </w:r>
    </w:p>
    <w:p w:rsidR="00A815D3" w:rsidRPr="002C3011" w:rsidRDefault="00A815D3" w:rsidP="002C3011">
      <w:pPr>
        <w:spacing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C3011">
        <w:rPr>
          <w:rFonts w:ascii="Times New Roman" w:hAnsi="Times New Roman" w:cs="Times New Roman"/>
          <w:b/>
          <w:strike/>
          <w:sz w:val="24"/>
          <w:szCs w:val="24"/>
        </w:rPr>
        <w:t>Das Responsabilidades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13 O contrato deve definir as responsabilidades e atribuições específicas do contratante e do contratado e deve ser assinado pelos respectivos representantes legais e responsáveis técnicos.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14 No contrato de terceirização de etapas da produção ou de controle de qualidade deve constar a forma pela qual a CONTRATANTE vai exercer sua responsabilidade quanto a aprovação de cada lote de produto para a venda ou quanto à emissão de certificado de análise de qualidade.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15 Em todos os casos a empresa CONTRATADA, é solidariamente responsável perante as autoridades sanitárias, juntamente com a CONTRATANTE, pelos aspectos técnicos, operacionais e legais inerentes à atividade objeto da terceirização.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16 A CONTRATANTE deve assegurar que a CONTRATADA seja informada de qualquer problema associado ao produto, serviços ou ensaios, que possam pôr em risco a qualidade do produto, bem como as instalações da CONTRATADA, seus equipamentos, seu pessoal, demais materiais, ou outros produtos.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17 A responsabilidade do produto a ser liberado para consumo é do detentor do registro independente de alguma etapa da sua produção, controle de qualidade ou armazenamento ter sido efetuada em terceiros, porém a contratada é </w:t>
      </w:r>
      <w:proofErr w:type="spellStart"/>
      <w:r w:rsidRPr="002C3011">
        <w:rPr>
          <w:rFonts w:ascii="Times New Roman" w:hAnsi="Times New Roman" w:cs="Times New Roman"/>
          <w:strike/>
          <w:sz w:val="24"/>
          <w:szCs w:val="24"/>
        </w:rPr>
        <w:t>co-responsável</w:t>
      </w:r>
      <w:proofErr w:type="spellEnd"/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 no que lhe compete o objeto do contrato. </w:t>
      </w:r>
    </w:p>
    <w:p w:rsidR="00A815D3" w:rsidRPr="002C3011" w:rsidRDefault="00A815D3" w:rsidP="002C3011">
      <w:pPr>
        <w:spacing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C3011">
        <w:rPr>
          <w:rFonts w:ascii="Times New Roman" w:hAnsi="Times New Roman" w:cs="Times New Roman"/>
          <w:b/>
          <w:strike/>
          <w:sz w:val="24"/>
          <w:szCs w:val="24"/>
        </w:rPr>
        <w:t>Da terceirização de etapas de produção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18 No caso de terceirização de etapas de produção a CONTRATANTE também deverá possuir Autorização de Funcionamento de Empresa para a atividade "fabricar".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>Art.</w:t>
      </w:r>
      <w:r w:rsidR="00AA5909" w:rsidRPr="002C301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19 A CONTRATANTE e a CONTRATADA devem assegurar que todos os materiais e produtos processados cumpram com suas especificações.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20 É vedada a terceirização de todas as etapas de produção de um mesmo medicamento, salvo nos casos em que a produção de formas farmacêuticas específicas necessite de tecnologias especiais na linha de produção, será permitida a terceirização de todas as etapas de produção, respeitando a proibição de terceirização de etapas da produção de todos os medicamentos registrados da CONTRATANTE.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§1º. A ANVISA disponibilizará no site da ANVISA quais são as formas farmacêuticas que serão consideradas específicas para a aplicação do caput deste artigo.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§2º. A empresa CONTRATANTE não será eximida do compromisso e realização do Controle de Qualidade do produto, excetuando-se aquele inerente ao processo de produção.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21 A empresa CONTRATADA deve contar com laboratório de controle de qualidade próprio, devidamente equipado para realizar todos os controles necessários ao processo de produção.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22 É vedado à empresa CONTRATANTE terceirizar etapas de produção de todos os seus produtos registrados, bem como, terceirizar as etapas de produção de um mesmo produto com mais de uma CONTRATADA.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§ 1º As etapas mencionadas no caput deste artigo não compreendem as etapas de embalagem.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23 Não será permitido terceirizar etapas da Produção ou parte do Controle de Qualidade concomitantemente do mesmo produto.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24 A terceirização de etapas de produção de produtos farmacêuticos implica na realização, pela CONTRATADA, dos controles em processo e da validação (validação de processo produtivo; validação de limpeza; validação de metodologia analítica) inerentes a cada atividade os quais devem estar devidamente registrados e documentados.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Parágrafo único: nos casos das validações mencionadas no caput deste artigo, a empresa CONTRATADA deve contar com o suporte técnico e/ou operacional da empresa CONTRATANTE ou de empresa especializada nessa atividade.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25 A CONTRATADA deve informar à CONTRATANTE sempre que houver produtos rejeitados (matérias primas, produtos </w:t>
      </w:r>
      <w:proofErr w:type="spellStart"/>
      <w:r w:rsidRPr="002C3011">
        <w:rPr>
          <w:rFonts w:ascii="Times New Roman" w:hAnsi="Times New Roman" w:cs="Times New Roman"/>
          <w:strike/>
          <w:sz w:val="24"/>
          <w:szCs w:val="24"/>
        </w:rPr>
        <w:t>semi-elaborados</w:t>
      </w:r>
      <w:proofErr w:type="spellEnd"/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, a granel e/ou produtos acabados).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Parágrafo único: A estocagem e o descarte dos produtos rejeitados mencionados no caput deste artigo são de responsabilidade da empresa CONTRATANTE e devem observar os procedimentos por ela estabelecidos e documentados. </w:t>
      </w:r>
    </w:p>
    <w:p w:rsidR="00A815D3" w:rsidRPr="002C3011" w:rsidRDefault="00A815D3" w:rsidP="002C3011">
      <w:pPr>
        <w:spacing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C3011">
        <w:rPr>
          <w:rFonts w:ascii="Times New Roman" w:hAnsi="Times New Roman" w:cs="Times New Roman"/>
          <w:b/>
          <w:strike/>
          <w:sz w:val="24"/>
          <w:szCs w:val="24"/>
        </w:rPr>
        <w:t>Da terceirização de Controle de Qualidade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26 Na terceirização de análises de controle de qualidade a CONTRATADA deve realizar a validação de métodos analíticos.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27 É proibida a terceirização do "controle de processo" de forma dissociada da "produção".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28 É vedado a terceirização do controle de qualidade de um mesmo produto com mais de uma contratada.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29 A terceirização do controle de qualidade de matérias-primas e produtos acabados somente será facultada nos seguintes casos: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2C3011">
        <w:rPr>
          <w:rFonts w:ascii="Times New Roman" w:hAnsi="Times New Roman" w:cs="Times New Roman"/>
          <w:strike/>
          <w:sz w:val="24"/>
          <w:szCs w:val="24"/>
        </w:rPr>
        <w:t>quando</w:t>
      </w:r>
      <w:proofErr w:type="gramEnd"/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 a periculosidade ou o grau de complexidade da análise laboratorial tornar necessária a utilização de equipamentos ou recursos humanos altamente especializados;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2C3011">
        <w:rPr>
          <w:rFonts w:ascii="Times New Roman" w:hAnsi="Times New Roman" w:cs="Times New Roman"/>
          <w:strike/>
          <w:sz w:val="24"/>
          <w:szCs w:val="24"/>
        </w:rPr>
        <w:t>quando</w:t>
      </w:r>
      <w:proofErr w:type="gramEnd"/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 a </w:t>
      </w:r>
      <w:proofErr w:type="spellStart"/>
      <w:r w:rsidRPr="002C3011">
        <w:rPr>
          <w:rFonts w:ascii="Times New Roman" w:hAnsi="Times New Roman" w:cs="Times New Roman"/>
          <w:strike/>
          <w:sz w:val="24"/>
          <w:szCs w:val="24"/>
        </w:rPr>
        <w:t>freqüência</w:t>
      </w:r>
      <w:proofErr w:type="spellEnd"/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 com a qual se efetuam certas aná- lises seja tão baixa que se faça injustificável a aquisição de equipamentos de alto custo.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Parágrafo único - Para o cumprimento do disposto nos itens I e II, a empresa CONTRATANTE deverá justificar a terceirização das análises de Controle de Qualidade, bem como, a CONTRATADA deverá comprovar ser habilitada para tal.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30 A CONTRATADA escolhida para realização de terceirização de Controle de Qualidade deve estar habilitada junto a REBLAS para os ensaios contratados ou quando se tratar de fabricante de medicamentos, a mesma deve estar na condição satisfatória e com inspeção atualizada.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Parágrafo único: Para os estabelecimentos localizados nos demais Estados Partes do Mercosul, as empresas contratantes e contratadas devem cumprir com as Boas Práticas vigentes e contar com os respectivos certificados de cumprimento que corresponda.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31 É vedada a terceirização de controle de qualidade, às empresas que não disponham de laboratório de Controle de Qualidade próprio. </w:t>
      </w:r>
    </w:p>
    <w:p w:rsidR="00A815D3" w:rsidRPr="002C3011" w:rsidRDefault="00A815D3" w:rsidP="002C3011">
      <w:pPr>
        <w:spacing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C3011">
        <w:rPr>
          <w:rFonts w:ascii="Times New Roman" w:hAnsi="Times New Roman" w:cs="Times New Roman"/>
          <w:b/>
          <w:strike/>
          <w:sz w:val="24"/>
          <w:szCs w:val="24"/>
        </w:rPr>
        <w:t>Da terceirização do Armazenamento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32 A empresa CONTRATADA para terceirização de armazenamento deverá possuir a Autorização de Funcionamento de Empresa vigente para esta atividade. 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33 Na terceirização de armazenamento, os produtos farmacêuticos aprovados devem estar com o registro vigente junto à autoridade sanitária competente. 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Parágrafo Único - Somente será permitida a terceirização de armazenamento de produtos farmacêuticos liberados para a comercialização pela Garantia da Qualidade, ou setor equivalente, da parte contratante. 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34 É vedada a terceirização de armazenamento às empresas que não disponham de local de armazenamento próprio. </w:t>
      </w:r>
    </w:p>
    <w:p w:rsidR="00885A66" w:rsidRPr="002C3011" w:rsidRDefault="00A815D3" w:rsidP="002C3011">
      <w:pPr>
        <w:spacing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C3011">
        <w:rPr>
          <w:rFonts w:ascii="Times New Roman" w:hAnsi="Times New Roman" w:cs="Times New Roman"/>
          <w:b/>
          <w:strike/>
          <w:sz w:val="24"/>
          <w:szCs w:val="24"/>
        </w:rPr>
        <w:t>Da Notificação de Terceirização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35. A empresa CONTRATANTE deverá peticionar por meio de Notificação à ANVISA quando realizar contrato de terceirização de Etapas de Produção, Controle de Qualidade e/ou Armazenamento de Medicamentos. 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>§ 1</w:t>
      </w:r>
      <w:r w:rsidR="00885A66" w:rsidRPr="002C3011">
        <w:rPr>
          <w:rFonts w:ascii="Times New Roman" w:hAnsi="Times New Roman" w:cs="Times New Roman"/>
          <w:strike/>
          <w:sz w:val="24"/>
          <w:szCs w:val="24"/>
        </w:rPr>
        <w:t>º</w:t>
      </w: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. A empresa deverá enviar para a ANVISA a seguinte documentação: 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a) Formulário de Autorização de Terceirização (Fato Gerador: 7179) constante do site da Anvisa; 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b) Taxa de vigilância sanitária. 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>§ 2</w:t>
      </w:r>
      <w:r w:rsidR="00885A66" w:rsidRPr="002C3011">
        <w:rPr>
          <w:rFonts w:ascii="Times New Roman" w:hAnsi="Times New Roman" w:cs="Times New Roman"/>
          <w:strike/>
          <w:sz w:val="24"/>
          <w:szCs w:val="24"/>
        </w:rPr>
        <w:t>º</w:t>
      </w:r>
      <w:r w:rsidRPr="002C3011">
        <w:rPr>
          <w:rFonts w:ascii="Times New Roman" w:hAnsi="Times New Roman" w:cs="Times New Roman"/>
          <w:strike/>
          <w:sz w:val="24"/>
          <w:szCs w:val="24"/>
        </w:rPr>
        <w:t>. A empresa deverá notificar à ANVISA 30</w:t>
      </w:r>
      <w:r w:rsidR="00117A8A" w:rsidRPr="002C301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(trinta) dias antes do início das atividades/serviços de terceirização. 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>§ 3</w:t>
      </w:r>
      <w:r w:rsidR="00885A66" w:rsidRPr="002C3011">
        <w:rPr>
          <w:rFonts w:ascii="Times New Roman" w:hAnsi="Times New Roman" w:cs="Times New Roman"/>
          <w:strike/>
          <w:sz w:val="24"/>
          <w:szCs w:val="24"/>
        </w:rPr>
        <w:t>º</w:t>
      </w: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 A ANVISA manifestará no prazo de 30 (trinta) dias quando as notificações de contrato de terceirização não atenderem integralmente o disposto neste regulamento. Neste caso, a referida notificação perderá a eficácia. Art. 36 Na notificação deve constar claramente o(s) número(s) de registro(s), forma(s) farmacêutica(s), substância(s) ativa(s) dos medicamentos a serem terceirizados, conforme formulários presentes no site da ANVISA. </w:t>
      </w:r>
    </w:p>
    <w:p w:rsidR="00117A8A" w:rsidRPr="002C3011" w:rsidRDefault="00117A8A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lastRenderedPageBreak/>
        <w:t>Art. 36 Na notificação deve constar claramente o(s) número(s) de registro(s), forma(s) farmacêutica(s), substância(s) ativa(s) dos medicamentos a serem terceirizados, conforme formulários presentes no site da ANVISA.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Parágrafo Único: O número de registro previsto no caput deste artigo não se aplica no caso de produção de lotes piloto, produtos utilizados em pesquisa clínica e placebos, devidamente documentados de acordo com a legislação específica vigente. 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37 Todas as etapas de produção, análises de controle de qualidade ou armazenamento a serem terceirizados devem estar claramente definidos no formulário de </w:t>
      </w:r>
      <w:proofErr w:type="spellStart"/>
      <w:r w:rsidRPr="002C3011">
        <w:rPr>
          <w:rFonts w:ascii="Times New Roman" w:hAnsi="Times New Roman" w:cs="Times New Roman"/>
          <w:strike/>
          <w:sz w:val="24"/>
          <w:szCs w:val="24"/>
        </w:rPr>
        <w:t>peticionamento</w:t>
      </w:r>
      <w:proofErr w:type="spellEnd"/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, bem como as responsabilidades de cada empresa (Contratante e Contratada). 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38 No momento da notificação a última inspeção sanitária da CONTRATANTE e da CONTRATADA deverão ter ocorrido há menos de 02 (dois) anos. 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39 A empresa CONTRATADA deve estar satisfatória no banco de dados da ANVISA ou com Certificado de Boas Práticas válido, no momento da notificação e durante toda a vigência do contrato para as linhas produtivas/classes terapêuticas peticionadas. 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Parágrafo único - Caso a empresa contratada perca a condição de </w:t>
      </w:r>
      <w:proofErr w:type="spellStart"/>
      <w:r w:rsidRPr="002C3011">
        <w:rPr>
          <w:rFonts w:ascii="Times New Roman" w:hAnsi="Times New Roman" w:cs="Times New Roman"/>
          <w:strike/>
          <w:sz w:val="24"/>
          <w:szCs w:val="24"/>
        </w:rPr>
        <w:t>satisfatoriedade</w:t>
      </w:r>
      <w:proofErr w:type="spellEnd"/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 durante a vigência do contrato, este não será mais válido perante esta Autoridade Sanitária e uma nova notificação deverá ser peticionada após o restabelecimento da sua condição de </w:t>
      </w:r>
      <w:proofErr w:type="spellStart"/>
      <w:r w:rsidRPr="002C3011">
        <w:rPr>
          <w:rFonts w:ascii="Times New Roman" w:hAnsi="Times New Roman" w:cs="Times New Roman"/>
          <w:strike/>
          <w:sz w:val="24"/>
          <w:szCs w:val="24"/>
        </w:rPr>
        <w:t>satisfatoriedade</w:t>
      </w:r>
      <w:proofErr w:type="spellEnd"/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>Art. 40 Deve ser protocolada uma nova notificação sempre que ocorrerem as seguintes situações: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I. Alteração de empresa Contratada; 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II. Alterações da empresa Contratante; 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III. Inclusão ou exclusão de produtos e/ou apresentações; </w:t>
      </w:r>
    </w:p>
    <w:p w:rsidR="00D621E1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>IV. Alteração dos tipos de ensaios e/ou metodologia analítica;</w:t>
      </w:r>
    </w:p>
    <w:p w:rsidR="00885A66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V. Alterações de etapas da produção. </w:t>
      </w:r>
    </w:p>
    <w:p w:rsidR="00885A66" w:rsidRPr="002C3011" w:rsidRDefault="00885A66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>§ 1º</w:t>
      </w:r>
      <w:r w:rsidR="00A815D3" w:rsidRPr="002C3011">
        <w:rPr>
          <w:rFonts w:ascii="Times New Roman" w:hAnsi="Times New Roman" w:cs="Times New Roman"/>
          <w:strike/>
          <w:sz w:val="24"/>
          <w:szCs w:val="24"/>
        </w:rPr>
        <w:t xml:space="preserve"> Não será necessário realizar renovação das petições vigentes, caso não haja alterações conforme descrito no caput deste artigo.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41 No caso de rescisão de Contratos de Terceirização de Etapas de Produção, Controle de Qualidade de Medicamentos ou de armazenamento de Medicamentos, a empresa CONTRATANTE deve imediatamente comunicar a ANVISA. </w:t>
      </w:r>
    </w:p>
    <w:p w:rsidR="00A815D3" w:rsidRPr="002C3011" w:rsidRDefault="00A815D3" w:rsidP="002C3011">
      <w:pPr>
        <w:spacing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C3011">
        <w:rPr>
          <w:rFonts w:ascii="Times New Roman" w:hAnsi="Times New Roman" w:cs="Times New Roman"/>
          <w:b/>
          <w:strike/>
          <w:sz w:val="24"/>
          <w:szCs w:val="24"/>
        </w:rPr>
        <w:t>Das Disposições finais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Art.42 Os contratos vigentes na data da publicação desta Resolução continuarão válidos, cabendo novo </w:t>
      </w:r>
      <w:proofErr w:type="spellStart"/>
      <w:r w:rsidRPr="002C3011">
        <w:rPr>
          <w:rFonts w:ascii="Times New Roman" w:hAnsi="Times New Roman" w:cs="Times New Roman"/>
          <w:strike/>
          <w:sz w:val="24"/>
          <w:szCs w:val="24"/>
        </w:rPr>
        <w:t>peticionamento</w:t>
      </w:r>
      <w:proofErr w:type="spellEnd"/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 somente na ocorrência de quaisquer das situações previstas no artigo 40.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43 As empresas que até o momento da publicação desta norma possuam terceirização de armazenamento (CONTRATANTE e CONTRATADA) terão o prazo de 120 (cento e vinte) dias para adequar-se às exigências de que trata esta Resolução, a contar da data da sua publicação.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44 A inobservância do disposto nesta Resolução configura infração de natureza sanitária, sujeitando os infratores às penalidades previstas na legislação vigente.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45 Esta Resolução de Diretoria Colegiada entra em vigor na data de sua publicação. </w:t>
      </w:r>
    </w:p>
    <w:p w:rsidR="00A815D3" w:rsidRPr="002C3011" w:rsidRDefault="00A815D3" w:rsidP="002C3011">
      <w:pPr>
        <w:spacing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Art. 46 Revogam-se as Portarias nº. 106, de 24 de julho de 1996 e a Portaria nº. 59, de 26 de abril de 1996. </w:t>
      </w:r>
    </w:p>
    <w:p w:rsidR="00A815D3" w:rsidRPr="002C3011" w:rsidRDefault="00A815D3" w:rsidP="002C3011">
      <w:pPr>
        <w:spacing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885A66" w:rsidRPr="002C3011" w:rsidRDefault="00885A66" w:rsidP="002C3011">
      <w:pPr>
        <w:spacing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>-----------------------------------------</w:t>
      </w:r>
    </w:p>
    <w:p w:rsidR="00A815D3" w:rsidRPr="002C3011" w:rsidRDefault="00A815D3" w:rsidP="002C3011">
      <w:pPr>
        <w:spacing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3011">
        <w:rPr>
          <w:rFonts w:ascii="Times New Roman" w:hAnsi="Times New Roman" w:cs="Times New Roman"/>
          <w:strike/>
          <w:sz w:val="24"/>
          <w:szCs w:val="24"/>
        </w:rPr>
        <w:t>(*</w:t>
      </w:r>
      <w:proofErr w:type="gramStart"/>
      <w:r w:rsidRPr="002C3011">
        <w:rPr>
          <w:rFonts w:ascii="Times New Roman" w:hAnsi="Times New Roman" w:cs="Times New Roman"/>
          <w:strike/>
          <w:sz w:val="24"/>
          <w:szCs w:val="24"/>
        </w:rPr>
        <w:t>) Republicada</w:t>
      </w:r>
      <w:proofErr w:type="gramEnd"/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 por ter saído no DOU no - 62, de 30-3-2007, </w:t>
      </w:r>
      <w:proofErr w:type="spellStart"/>
      <w:r w:rsidRPr="002C3011">
        <w:rPr>
          <w:rFonts w:ascii="Times New Roman" w:hAnsi="Times New Roman" w:cs="Times New Roman"/>
          <w:strike/>
          <w:sz w:val="24"/>
          <w:szCs w:val="24"/>
        </w:rPr>
        <w:t>Seçao</w:t>
      </w:r>
      <w:proofErr w:type="spellEnd"/>
      <w:r w:rsidRPr="002C3011">
        <w:rPr>
          <w:rFonts w:ascii="Times New Roman" w:hAnsi="Times New Roman" w:cs="Times New Roman"/>
          <w:strike/>
          <w:sz w:val="24"/>
          <w:szCs w:val="24"/>
        </w:rPr>
        <w:t xml:space="preserve"> 1, pág. 113, com incorreção no original.</w:t>
      </w:r>
    </w:p>
    <w:sectPr w:rsidR="00A815D3" w:rsidRPr="002C301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909" w:rsidRDefault="00AA5909" w:rsidP="00AA5909">
      <w:pPr>
        <w:spacing w:after="0" w:line="240" w:lineRule="auto"/>
      </w:pPr>
      <w:r>
        <w:separator/>
      </w:r>
    </w:p>
  </w:endnote>
  <w:endnote w:type="continuationSeparator" w:id="0">
    <w:p w:rsidR="00AA5909" w:rsidRDefault="00AA5909" w:rsidP="00AA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909" w:rsidRPr="00AA5909" w:rsidRDefault="00AA5909" w:rsidP="00AA590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909" w:rsidRDefault="00AA5909" w:rsidP="00AA5909">
      <w:pPr>
        <w:spacing w:after="0" w:line="240" w:lineRule="auto"/>
      </w:pPr>
      <w:r>
        <w:separator/>
      </w:r>
    </w:p>
  </w:footnote>
  <w:footnote w:type="continuationSeparator" w:id="0">
    <w:p w:rsidR="00AA5909" w:rsidRDefault="00AA5909" w:rsidP="00AA5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909" w:rsidRDefault="00AA5909" w:rsidP="00AA590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A5909" w:rsidRDefault="00AA5909" w:rsidP="00AA590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AA5909" w:rsidRDefault="00AA5909" w:rsidP="00AA590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AA5909" w:rsidRDefault="00AA590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052"/>
    <w:rsid w:val="00117A8A"/>
    <w:rsid w:val="001E708B"/>
    <w:rsid w:val="00215052"/>
    <w:rsid w:val="002C3011"/>
    <w:rsid w:val="007441BF"/>
    <w:rsid w:val="00786686"/>
    <w:rsid w:val="00885A66"/>
    <w:rsid w:val="00A815D3"/>
    <w:rsid w:val="00AA5909"/>
    <w:rsid w:val="00B30817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10DD"/>
  <w15:docId w15:val="{458ECB07-117F-43AB-860A-63A79922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0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5A6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59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909"/>
  </w:style>
  <w:style w:type="paragraph" w:styleId="Rodap">
    <w:name w:val="footer"/>
    <w:basedOn w:val="Normal"/>
    <w:link w:val="RodapChar"/>
    <w:uiPriority w:val="99"/>
    <w:unhideWhenUsed/>
    <w:rsid w:val="00AA59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909"/>
  </w:style>
  <w:style w:type="paragraph" w:styleId="Textodebalo">
    <w:name w:val="Balloon Text"/>
    <w:basedOn w:val="Normal"/>
    <w:link w:val="TextodebaloChar"/>
    <w:uiPriority w:val="99"/>
    <w:semiHidden/>
    <w:unhideWhenUsed/>
    <w:rsid w:val="00AA5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4B65C6-523E-4A14-9162-04DEFD4F7527}"/>
</file>

<file path=customXml/itemProps2.xml><?xml version="1.0" encoding="utf-8"?>
<ds:datastoreItem xmlns:ds="http://schemas.openxmlformats.org/officeDocument/2006/customXml" ds:itemID="{09144292-9D01-4264-B110-30E4AF56A341}"/>
</file>

<file path=customXml/itemProps3.xml><?xml version="1.0" encoding="utf-8"?>
<ds:datastoreItem xmlns:ds="http://schemas.openxmlformats.org/officeDocument/2006/customXml" ds:itemID="{FBA44551-DFFB-4125-BCB8-E62266653F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2741</Words>
  <Characters>14807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2015-11-02T22:25:00Z</dcterms:created>
  <dcterms:modified xsi:type="dcterms:W3CDTF">2018-06-25T14:49:00Z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