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A2CB8" w:rsidRDefault="00F5170D" w:rsidP="00F5170D">
      <w:pPr>
        <w:jc w:val="center"/>
        <w:rPr>
          <w:rFonts w:ascii="Times New Roman" w:hAnsi="Times New Roman" w:cs="Times New Roman"/>
          <w:b/>
          <w:szCs w:val="24"/>
        </w:rPr>
      </w:pPr>
      <w:r w:rsidRPr="006A2CB8">
        <w:rPr>
          <w:rFonts w:ascii="Times New Roman" w:hAnsi="Times New Roman" w:cs="Times New Roman"/>
          <w:b/>
          <w:szCs w:val="24"/>
        </w:rPr>
        <w:t>RESOLUÇÃO</w:t>
      </w:r>
      <w:r w:rsidR="006A2CB8" w:rsidRPr="006A2CB8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6A2CB8">
        <w:rPr>
          <w:rFonts w:ascii="Times New Roman" w:hAnsi="Times New Roman" w:cs="Times New Roman"/>
          <w:b/>
          <w:szCs w:val="24"/>
        </w:rPr>
        <w:t xml:space="preserve"> – RDC Nº 25, DE 14 DE MAIO DE </w:t>
      </w:r>
      <w:proofErr w:type="gramStart"/>
      <w:r w:rsidRPr="006A2CB8">
        <w:rPr>
          <w:rFonts w:ascii="Times New Roman" w:hAnsi="Times New Roman" w:cs="Times New Roman"/>
          <w:b/>
          <w:szCs w:val="24"/>
        </w:rPr>
        <w:t>2013</w:t>
      </w:r>
      <w:proofErr w:type="gramEnd"/>
    </w:p>
    <w:p w:rsidR="00F5170D" w:rsidRPr="006A2CB8" w:rsidRDefault="00F5170D" w:rsidP="00F5170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2CB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92, de 15 de maio de 2013</w:t>
      </w:r>
      <w:proofErr w:type="gramStart"/>
      <w:r w:rsidRPr="006A2CB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65F6A" w:rsidRPr="006A2CB8" w:rsidTr="00965F6A">
        <w:tc>
          <w:tcPr>
            <w:tcW w:w="4322" w:type="dxa"/>
          </w:tcPr>
          <w:p w:rsidR="00965F6A" w:rsidRPr="006A2CB8" w:rsidRDefault="00965F6A" w:rsidP="00F5170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965F6A" w:rsidRPr="006A2CB8" w:rsidRDefault="00965F6A" w:rsidP="00965F6A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A2CB8">
              <w:rPr>
                <w:rFonts w:ascii="Times New Roman" w:hAnsi="Times New Roman" w:cs="Times New Roman"/>
                <w:sz w:val="24"/>
                <w:szCs w:val="24"/>
              </w:rPr>
              <w:t>Altera a RDC nº 50 de 20 de setembro de 2011, que dispõe sobre os procedimentos e condições de realização de estudos de estabilidade para o registro ou alterações pós-registro de produtos biológicos e dá outras providências.</w:t>
            </w:r>
          </w:p>
        </w:tc>
      </w:tr>
    </w:tbl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 </w:t>
      </w:r>
      <w:r w:rsidRPr="006A2CB8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6A2CB8">
        <w:rPr>
          <w:rFonts w:ascii="Times New Roman" w:hAnsi="Times New Roman" w:cs="Times New Roman"/>
          <w:sz w:val="24"/>
          <w:szCs w:val="24"/>
        </w:rPr>
        <w:t xml:space="preserve"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422, de 16 de abril de 2008, em reunião realizada em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de maio de 2013, adota a seguinte Resolução da Diretoria Colegiada e eu, Diretor-Presidente , determino a sua publicação: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Art. 1º. A Resolução da Diretoria Colegiada - RDC nº 50 de 20 de setembro de 2011, passa a vigorar com as seguintes alterações: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16. Os estudos de estabilidade, em caso de importação de princípio ativo, de produto intermediário e de produto a granel, devem seguir o disposto no Anexo I desta Resolução.” (NR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“Art. 36. Nos relatórios dos estudos de estabilidade de acompanhamento, enviados na renovação de registro do produto, deverá constar o período de tempo em que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o princípio ativo e o produto intermediário, se for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o caso, permaneceram estocados antes da sua utilização na fabricação do produto biológico terminado.”(NR)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40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................ .......................................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2º Os limites de especificação para produtos de degradação devem ser estipulados observando-se os perfis de degradação dos lotes do princípio ativo e do produto biológico terminado utilizados nos estudos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clínicos.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”(NR)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“Art. 61.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Quando ocorrer alteração de excipiente do produto terminado, após a finalização do estudo de estabilidade de longa duração submetido para registro, a empresa deverá realizar a análise do risco dessa alteração, considerando a manutenção da qualidade e segurança do produto.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lastRenderedPageBreak/>
        <w:t xml:space="preserve">§ 6° Deverá ser submetido o estudo de estabilidade acelerado completo e estudo de estabilidade de longa duração realizado por no mínimo metade do prazo de validade aprovado.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”(NR)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“Art. 62. Nos casos em que o princípio ativo permanece estocado por um período igual ou superior a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(seis) meses, a empresa deve apresentar dados de estabilidade acelerada e de longa duração parcial de pelo menos 6 (seis) meses para o princípio ativo.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1º Deverão existir, no mínimo,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(três) pontos de amostragem nos gráficos do princípio ativo.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2º Os dados de estabilidade apresentados deverão demonstrar a manutenção das características dos dados de estabilidade do princípio ativo obtido a partir do banco atualmente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aprovado.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”(NR)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65. Se o fabricante do diluente for incluído ou alterado, a empresa deverá protocolar o estudo de estabilidade acelerado completo e estudo de estabilidade de longa duração realizado por no mínimo metade do prazo de validade do diluente, bem como novo estudo de estabilidade para o produto reconstituído/diluído.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67. A empresa deverá realizar a análise de risco da alteração do processo de fabricação do princípio ativo, do produto a granel e/ou do produto em sua embalagem primária.”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 “Art. 68. O fabricante deverá realizar uma análise comparativa entre o estudo de estabilidade acelerado e/ou de longa duração realizado antes e após a alteração para determinar a possibilidade de impactos na manutenção da qualidade do produto biológico terminado.”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69. Deverão ser apresentados estudos de estabilidade acelerado completo e estudo de estabilidade de longa duração realizado por no mínimo metade do prazo de validade aprovado para determinação dos novos cuidados de conservação.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“Art. 72. Para a ampliação do prazo de validade do produto biológico terminado somente serão aceitos estudos de estabilidade de longa duração completos.”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“Art. 73.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Para a vacina a ser utilizada no período atual, deverá ser submetido o protocolo do estudo de estabilidade acelerada e de longa duração, relatório com os dados obtidos até o momento do requerimento e cronograma da realização dos testes.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Parágrafo único.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Deverá ser enviado o relatório parcial dos estudos de estabilidade dos produtos a granel monovalentes.”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lastRenderedPageBreak/>
        <w:t>“Art. 74. Deverão ser enviados os dados do estudo de longa duração completo da vacina utilizada no ano anterior.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79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......................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2º Nos casos em que o princípio ativo, produto intermediário e/ou a granel permanece estocado por um período inferior a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(seis) meses, a empresa deverá submeter juntamente com a informação de alteração/inclusão do local de fabricação, o estudo de longa duração correspondente ao tempo máximo pelo qual o produto é estocado.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3° Para o produto biológico em sua embalagem primária deverá ser submetido o estudo de estabilidade acelerado completo e estudo de estabilidade de longa duração realizado por no mínimo metade do prazo de validade aprovado.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”(NR) </w:t>
      </w:r>
    </w:p>
    <w:p w:rsidR="00CE6B7B" w:rsidRPr="006A2CB8" w:rsidRDefault="00F21E05" w:rsidP="00CE6B7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trike/>
          <w:sz w:val="24"/>
          <w:szCs w:val="24"/>
        </w:rPr>
        <w:t>Art. 2º Os títulos das Seções III, IV, V, VI, VII, VIII, X, XI, XIII e XIV do Capítulo VII da RDC nº 50/2011, passam a vigorar com a seguinte redação</w:t>
      </w:r>
      <w:r w:rsidRPr="006A2CB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E6B7B" w:rsidRPr="006A2CB8" w:rsidRDefault="00CE6B7B" w:rsidP="00CE6B7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6A2C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2° Os títulos das Seções III, IV, V, VI, VII, VIII, X, XI, XIII e XIV do Capítulo VII da RDC nº 50/2011, passam a vigorar com a seguinte redação: </w:t>
      </w:r>
      <w:r w:rsidRP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</w:t>
      </w:r>
      <w:r w:rsid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P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159, de 20 de agosto de 2015</w:t>
      </w:r>
      <w:proofErr w:type="gramStart"/>
      <w:r w:rsidRP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Capítulo VII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III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“Da Alteração de Excipiente do Produto Terminado”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IV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“Do Estabelecimento de um novo Banco de Células-Mestre de Produtos Biotecnológicos e Vacinas”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V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lastRenderedPageBreak/>
        <w:t xml:space="preserve">“Da Inclusão ou Alteração do Local de Fabricação do Diluente”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Seção VI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“Da Alteração de Tamanho do Lote do Produto”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VII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“Da Alteração do Processo de Fabricação do Princípio Ativo, do Produto a Granel e do Produto em sua Embalagem Primária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VIII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“Da Alteração dos Cuidados de Conservação”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X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“Da Ampliação do Prazo de Validade do Produto Biológico Terminado”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XI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“Da Atualização da(s) Cepa(s) de Produção da Vacina Influenza”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A2CB8">
        <w:rPr>
          <w:rFonts w:ascii="Times New Roman" w:hAnsi="Times New Roman" w:cs="Times New Roman"/>
          <w:strike/>
          <w:sz w:val="24"/>
          <w:szCs w:val="24"/>
        </w:rPr>
        <w:t xml:space="preserve">Seção XIII </w:t>
      </w:r>
    </w:p>
    <w:p w:rsidR="00B12BDF" w:rsidRPr="006A2CB8" w:rsidRDefault="00F21E05" w:rsidP="00B12B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trike/>
          <w:sz w:val="24"/>
          <w:szCs w:val="24"/>
        </w:rPr>
        <w:t>“Das Inclusões/Alterações de Local de Fabricação do Princípio Ativo, do Produto Intermediário, do Produto a Granel e do Produto em sua Embalagem Primária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E6B7B" w:rsidRPr="006A2CB8" w:rsidRDefault="00B12BDF" w:rsidP="00B12B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Seção XIII - "Da Alteração ou Inclusão de Acondicionamento Primário" </w:t>
      </w:r>
      <w:r w:rsidR="00CE6B7B" w:rsidRP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(Retificado </w:t>
      </w:r>
      <w:r w:rsid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bookmarkStart w:id="0" w:name="_GoBack"/>
      <w:bookmarkEnd w:id="0"/>
      <w:r w:rsidR="00CE6B7B" w:rsidRP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159, de 20 de agosto de 2015</w:t>
      </w:r>
      <w:proofErr w:type="gramStart"/>
      <w:r w:rsidR="00CE6B7B" w:rsidRPr="006A2CB8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................................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Seção XIV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lastRenderedPageBreak/>
        <w:t>“Das Inclusões/ Alterações de Local de Fabricação do Princípio Ativo, do Produto Intermediário, do Produto a Granel e do Produto em sua Embalagem Primária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Art. 3º O art. 63 da RDC nº 50 / 2011, passa a vigorar acrescido dos seguintes parágrafos 1º e 2º: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63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...................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1º Deverão existir, no mínimo,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 (três) pontos de amostragem nos gráficos do princípio ativo.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§ 2º Os dados de estabilidade apresentados deverão demonstrar a manutenção das características dos dados de estabilidade do princípio ativo obtido a partir do banco atualmente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aprovado.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”(NR)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Art. 4º O Caput Art. 81 da RDC nº 50 / 2011, passa a vigorar acrescido dos seguintes incisos I e II: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“Art. 81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. ...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......................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I – não houver alteração da concentração, volume e/ou massa por embalagem primária do produto biológico terminado;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II – a dose estiver contemplada no intervalo entre a menor e a maior dose do estudo de estabilidade já enviado à </w:t>
      </w:r>
      <w:proofErr w:type="gramStart"/>
      <w:r w:rsidRPr="006A2CB8">
        <w:rPr>
          <w:rFonts w:ascii="Times New Roman" w:hAnsi="Times New Roman" w:cs="Times New Roman"/>
          <w:sz w:val="24"/>
          <w:szCs w:val="24"/>
        </w:rPr>
        <w:t>ANVISA.</w:t>
      </w:r>
      <w:proofErr w:type="gramEnd"/>
      <w:r w:rsidRPr="006A2CB8">
        <w:rPr>
          <w:rFonts w:ascii="Times New Roman" w:hAnsi="Times New Roman" w:cs="Times New Roman"/>
          <w:sz w:val="24"/>
          <w:szCs w:val="24"/>
        </w:rPr>
        <w:t xml:space="preserve">”(NR)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Art. 5º Revogam-se os §§ 4º e 5º do art. 61, o parágrafo único do art. 63, o art. 64 e os §§ 1º e 2º do art. 81 da RDC nº 50 / 2011.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Art. 6º A ANVISA publicará no Diário Oficial da União a íntegra da RDC nº 50 / 2011, com as alterações resultantes desta Resolução. </w:t>
      </w:r>
    </w:p>
    <w:p w:rsidR="00F21E05" w:rsidRPr="006A2CB8" w:rsidRDefault="00F21E05" w:rsidP="00D6678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 xml:space="preserve">Art. 7º Esta Resolução entra em vigor na data de sua publicação. </w:t>
      </w:r>
    </w:p>
    <w:p w:rsidR="00965F6A" w:rsidRPr="006A2CB8" w:rsidRDefault="00F21E05" w:rsidP="00D6678D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A2CB8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965F6A" w:rsidRPr="006A2C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CB8" w:rsidRDefault="006A2CB8" w:rsidP="006A2CB8">
      <w:pPr>
        <w:spacing w:after="0" w:line="240" w:lineRule="auto"/>
      </w:pPr>
      <w:r>
        <w:separator/>
      </w:r>
    </w:p>
  </w:endnote>
  <w:endnote w:type="continuationSeparator" w:id="0">
    <w:p w:rsidR="006A2CB8" w:rsidRDefault="006A2CB8" w:rsidP="006A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CB8" w:rsidRPr="006A2CB8" w:rsidRDefault="006A2CB8" w:rsidP="006A2CB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CB8" w:rsidRDefault="006A2CB8" w:rsidP="006A2CB8">
      <w:pPr>
        <w:spacing w:after="0" w:line="240" w:lineRule="auto"/>
      </w:pPr>
      <w:r>
        <w:separator/>
      </w:r>
    </w:p>
  </w:footnote>
  <w:footnote w:type="continuationSeparator" w:id="0">
    <w:p w:rsidR="006A2CB8" w:rsidRDefault="006A2CB8" w:rsidP="006A2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CB8" w:rsidRPr="00B517AC" w:rsidRDefault="006A2CB8" w:rsidP="006A2CB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858AC87" wp14:editId="4CDF7EA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A2CB8" w:rsidRPr="00B517AC" w:rsidRDefault="006A2CB8" w:rsidP="006A2CB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A2CB8" w:rsidRPr="00B517AC" w:rsidRDefault="006A2CB8" w:rsidP="006A2CB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A2CB8" w:rsidRDefault="006A2CB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0D"/>
    <w:rsid w:val="001E708B"/>
    <w:rsid w:val="004C3A9B"/>
    <w:rsid w:val="006A2CB8"/>
    <w:rsid w:val="007265E9"/>
    <w:rsid w:val="007441BF"/>
    <w:rsid w:val="00786686"/>
    <w:rsid w:val="007E29FE"/>
    <w:rsid w:val="00965F6A"/>
    <w:rsid w:val="00B12BDF"/>
    <w:rsid w:val="00B30817"/>
    <w:rsid w:val="00CE6B7B"/>
    <w:rsid w:val="00D621E1"/>
    <w:rsid w:val="00D6678D"/>
    <w:rsid w:val="00F21E05"/>
    <w:rsid w:val="00F5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5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A2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CB8"/>
  </w:style>
  <w:style w:type="paragraph" w:styleId="Rodap">
    <w:name w:val="footer"/>
    <w:basedOn w:val="Normal"/>
    <w:link w:val="RodapChar"/>
    <w:uiPriority w:val="99"/>
    <w:unhideWhenUsed/>
    <w:rsid w:val="006A2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CB8"/>
  </w:style>
  <w:style w:type="paragraph" w:styleId="Textodebalo">
    <w:name w:val="Balloon Text"/>
    <w:basedOn w:val="Normal"/>
    <w:link w:val="TextodebaloChar"/>
    <w:uiPriority w:val="99"/>
    <w:semiHidden/>
    <w:unhideWhenUsed/>
    <w:rsid w:val="006A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5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A2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CB8"/>
  </w:style>
  <w:style w:type="paragraph" w:styleId="Rodap">
    <w:name w:val="footer"/>
    <w:basedOn w:val="Normal"/>
    <w:link w:val="RodapChar"/>
    <w:uiPriority w:val="99"/>
    <w:unhideWhenUsed/>
    <w:rsid w:val="006A2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CB8"/>
  </w:style>
  <w:style w:type="paragraph" w:styleId="Textodebalo">
    <w:name w:val="Balloon Text"/>
    <w:basedOn w:val="Normal"/>
    <w:link w:val="TextodebaloChar"/>
    <w:uiPriority w:val="99"/>
    <w:semiHidden/>
    <w:unhideWhenUsed/>
    <w:rsid w:val="006A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2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9D0B9-DF1D-4767-AF9B-58A002481F85}"/>
</file>

<file path=customXml/itemProps2.xml><?xml version="1.0" encoding="utf-8"?>
<ds:datastoreItem xmlns:ds="http://schemas.openxmlformats.org/officeDocument/2006/customXml" ds:itemID="{E0D941BB-B39D-4121-BC09-F90155EE8983}"/>
</file>

<file path=customXml/itemProps3.xml><?xml version="1.0" encoding="utf-8"?>
<ds:datastoreItem xmlns:ds="http://schemas.openxmlformats.org/officeDocument/2006/customXml" ds:itemID="{6D8B75C7-C939-4A8C-B5BC-A58540F2AC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1319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3</cp:revision>
  <dcterms:created xsi:type="dcterms:W3CDTF">2016-09-27T12:12:00Z</dcterms:created>
  <dcterms:modified xsi:type="dcterms:W3CDTF">2016-10-03T21:15:00Z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