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D32" w:rsidRDefault="00B77D32">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265, de 22 de setembro de 2005.</w:t>
      </w:r>
    </w:p>
    <w:p w:rsidR="00B77D32" w:rsidRDefault="00B77D32">
      <w:pPr>
        <w:tabs>
          <w:tab w:val="left" w:pos="3544"/>
        </w:tabs>
        <w:ind w:firstLine="567"/>
        <w:rPr>
          <w:sz w:val="16"/>
          <w:szCs w:val="16"/>
        </w:rPr>
      </w:pPr>
    </w:p>
    <w:p w:rsidR="00B77D32" w:rsidRDefault="00B77D32">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considerando a necessidade de constante aperfeiçoamento das ações de controle sanitário na área de alimentos, visando a proteção à saúde da população;</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considerando a necessidade de atualização da legislação sanitária de alimentos, com base no enfoque da avaliação de risco e da prevenção do dano à saúde da população;</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considerando que os regulamentos técnicos da ANVISA de padrões de identidade e qualidade de alimentos devem priorizar os parâmetros sanitários;</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considerando que o foco da ação de vigilância sanitária é a inspeção do processo de produção visando a qualidade do produto final;</w:t>
      </w:r>
    </w:p>
    <w:p w:rsidR="00B77D32" w:rsidRDefault="00B77D32">
      <w:pPr>
        <w:ind w:firstLine="567"/>
        <w:jc w:val="both"/>
        <w:rPr>
          <w:sz w:val="16"/>
          <w:szCs w:val="16"/>
        </w:rPr>
      </w:pPr>
    </w:p>
    <w:p w:rsidR="00B77D32" w:rsidRDefault="00B77D32">
      <w:pPr>
        <w:pStyle w:val="Recuodecorpodetexto3"/>
        <w:rPr>
          <w:rFonts w:ascii="Times New Roman" w:hAnsi="Times New Roman" w:cs="Times New Roman"/>
          <w:sz w:val="16"/>
          <w:szCs w:val="16"/>
        </w:rPr>
      </w:pPr>
      <w:r>
        <w:rPr>
          <w:rFonts w:ascii="Times New Roman" w:hAnsi="Times New Roman" w:cs="Times New Roman"/>
          <w:sz w:val="16"/>
          <w:szCs w:val="16"/>
        </w:rPr>
        <w:t>adota a seguinte Resolução da Diretoria Colegiada e eu, Diretor-Presidente, determino a sua publicação:</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Art. 1º Aprovar o “REGULAMENTO TÉCNICO PARA BALAS, BOMBONS E GOMAS DE MASCAR”, constante do Anexo desta Resolução.</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Art. 2º As empresas têm o prazo de 01 (um) ano, a contar da data de publicação deste Regulamento para adequarem seus produtos.</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Art. 3º O descumprimento aos termos desta Resolução constitui infração sanitária, sujeitando os infratores às penalidades previstas na Lei nº 6.437, de 20 de agosto de 1977 e demais disposições aplicáveis.</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Art. 4º Revogam-se as disposições em contrário, em especial a Resolução CNNPA nº 12/78, itens referentes a Balas, Caramelos e Similares; e Bombons e Similares.</w:t>
      </w:r>
    </w:p>
    <w:p w:rsidR="00B77D32" w:rsidRDefault="00B77D32">
      <w:pPr>
        <w:ind w:firstLine="567"/>
        <w:jc w:val="both"/>
        <w:rPr>
          <w:sz w:val="16"/>
          <w:szCs w:val="16"/>
        </w:rPr>
      </w:pPr>
    </w:p>
    <w:p w:rsidR="00B77D32" w:rsidRDefault="00B77D32">
      <w:pPr>
        <w:ind w:firstLine="567"/>
        <w:jc w:val="both"/>
        <w:rPr>
          <w:sz w:val="16"/>
          <w:szCs w:val="16"/>
        </w:rPr>
      </w:pPr>
      <w:r>
        <w:rPr>
          <w:sz w:val="16"/>
          <w:szCs w:val="16"/>
        </w:rPr>
        <w:t xml:space="preserve">Art. 5º Esta Resolução entra em vigor na data de sua publicação. </w:t>
      </w:r>
    </w:p>
    <w:p w:rsidR="00B77D32" w:rsidRDefault="00B77D32">
      <w:pPr>
        <w:ind w:firstLine="567"/>
        <w:jc w:val="both"/>
        <w:rPr>
          <w:sz w:val="16"/>
          <w:szCs w:val="16"/>
        </w:rPr>
      </w:pPr>
    </w:p>
    <w:p w:rsidR="00B77D32" w:rsidRDefault="00B77D32">
      <w:pPr>
        <w:ind w:firstLine="567"/>
        <w:jc w:val="both"/>
        <w:rPr>
          <w:sz w:val="16"/>
          <w:szCs w:val="16"/>
        </w:rPr>
      </w:pPr>
    </w:p>
    <w:p w:rsidR="00B77D32" w:rsidRDefault="00B77D32">
      <w:pPr>
        <w:ind w:firstLine="567"/>
        <w:jc w:val="both"/>
        <w:rPr>
          <w:sz w:val="16"/>
          <w:szCs w:val="16"/>
        </w:rPr>
      </w:pPr>
    </w:p>
    <w:p w:rsidR="00B77D32" w:rsidRDefault="00B77D32">
      <w:pPr>
        <w:jc w:val="center"/>
        <w:rPr>
          <w:sz w:val="16"/>
          <w:szCs w:val="16"/>
        </w:rPr>
      </w:pPr>
      <w:r>
        <w:rPr>
          <w:sz w:val="16"/>
          <w:szCs w:val="16"/>
        </w:rPr>
        <w:t>##ASS DIRCEU RAPOSO DE MELLO</w:t>
      </w:r>
    </w:p>
    <w:p w:rsidR="00B77D32" w:rsidRDefault="00B77D32">
      <w:pPr>
        <w:jc w:val="center"/>
        <w:rPr>
          <w:sz w:val="16"/>
          <w:szCs w:val="16"/>
        </w:rPr>
      </w:pPr>
    </w:p>
    <w:p w:rsidR="00B77D32" w:rsidRDefault="00B77D32">
      <w:pPr>
        <w:jc w:val="center"/>
        <w:rPr>
          <w:sz w:val="16"/>
          <w:szCs w:val="16"/>
        </w:rPr>
      </w:pPr>
      <w:r>
        <w:rPr>
          <w:sz w:val="16"/>
          <w:szCs w:val="16"/>
        </w:rPr>
        <w:t>ANEXO</w:t>
      </w:r>
    </w:p>
    <w:p w:rsidR="00B77D32" w:rsidRDefault="00B77D32">
      <w:pPr>
        <w:jc w:val="center"/>
        <w:rPr>
          <w:sz w:val="16"/>
          <w:szCs w:val="16"/>
        </w:rPr>
      </w:pPr>
    </w:p>
    <w:p w:rsidR="00B77D32" w:rsidRDefault="00B77D32">
      <w:pPr>
        <w:jc w:val="center"/>
        <w:rPr>
          <w:sz w:val="16"/>
          <w:szCs w:val="16"/>
        </w:rPr>
      </w:pPr>
      <w:r>
        <w:rPr>
          <w:sz w:val="16"/>
          <w:szCs w:val="16"/>
        </w:rPr>
        <w:t>REGULAMENTO TÉCNICO PARA BALAS, BOMBONS E GOMAS DE MASCAR</w:t>
      </w:r>
    </w:p>
    <w:p w:rsidR="00B77D32" w:rsidRDefault="00B77D32">
      <w:pPr>
        <w:rPr>
          <w:sz w:val="16"/>
          <w:szCs w:val="16"/>
        </w:rPr>
      </w:pPr>
    </w:p>
    <w:p w:rsidR="00B77D32" w:rsidRDefault="00B77D32">
      <w:pPr>
        <w:jc w:val="both"/>
        <w:rPr>
          <w:sz w:val="16"/>
          <w:szCs w:val="16"/>
        </w:rPr>
      </w:pPr>
      <w:r>
        <w:rPr>
          <w:sz w:val="16"/>
          <w:szCs w:val="16"/>
        </w:rPr>
        <w:t xml:space="preserve">1. ALCANCE </w:t>
      </w:r>
    </w:p>
    <w:p w:rsidR="00B77D32" w:rsidRDefault="00B77D32">
      <w:pPr>
        <w:jc w:val="both"/>
        <w:rPr>
          <w:sz w:val="16"/>
          <w:szCs w:val="16"/>
        </w:rPr>
      </w:pPr>
      <w:r>
        <w:rPr>
          <w:sz w:val="16"/>
          <w:szCs w:val="16"/>
        </w:rPr>
        <w:t xml:space="preserve">Fixar a identidade e as características mínimas de qualidade a que devem obedecer as Balas, Bombons e Gomas de Mascar. </w:t>
      </w:r>
    </w:p>
    <w:p w:rsidR="00B77D32" w:rsidRDefault="00B77D32">
      <w:pPr>
        <w:jc w:val="both"/>
        <w:rPr>
          <w:sz w:val="16"/>
          <w:szCs w:val="16"/>
        </w:rPr>
      </w:pPr>
    </w:p>
    <w:p w:rsidR="00B77D32" w:rsidRDefault="00B77D32">
      <w:pPr>
        <w:jc w:val="both"/>
        <w:rPr>
          <w:sz w:val="16"/>
          <w:szCs w:val="16"/>
        </w:rPr>
      </w:pPr>
      <w:r>
        <w:rPr>
          <w:sz w:val="16"/>
          <w:szCs w:val="16"/>
        </w:rPr>
        <w:t xml:space="preserve">2. DEFINIÇÃO </w:t>
      </w:r>
    </w:p>
    <w:p w:rsidR="00B77D32" w:rsidRDefault="00B77D32">
      <w:pPr>
        <w:jc w:val="both"/>
        <w:rPr>
          <w:sz w:val="16"/>
          <w:szCs w:val="16"/>
        </w:rPr>
      </w:pPr>
      <w:r>
        <w:rPr>
          <w:sz w:val="16"/>
          <w:szCs w:val="16"/>
        </w:rPr>
        <w:t xml:space="preserve">2.1. Bala: é o produto constituído por açúcar e ou outros ingredientes. Pode apresentar recheio, cobertura, formato e consistência variados. Incluem-se, nesta definição, os produtos similares a balas. </w:t>
      </w:r>
    </w:p>
    <w:p w:rsidR="00B77D32" w:rsidRDefault="00B77D32">
      <w:pPr>
        <w:jc w:val="both"/>
        <w:rPr>
          <w:sz w:val="16"/>
          <w:szCs w:val="16"/>
        </w:rPr>
      </w:pPr>
      <w:r>
        <w:rPr>
          <w:sz w:val="16"/>
          <w:szCs w:val="16"/>
        </w:rPr>
        <w:t>2.2. Bombom: é o produto constituído por massa de chocolate ou por um núcleo formado de recheio, recoberto por uma camada de chocolate ou glacê. Pode conter outros ingredientes, desde que não descaracterizem o produto e apresentar formato e consistência variados.</w:t>
      </w:r>
    </w:p>
    <w:p w:rsidR="00B77D32" w:rsidRDefault="00B77D32">
      <w:pPr>
        <w:jc w:val="both"/>
        <w:rPr>
          <w:sz w:val="16"/>
          <w:szCs w:val="16"/>
        </w:rPr>
      </w:pPr>
      <w:r>
        <w:rPr>
          <w:sz w:val="16"/>
          <w:szCs w:val="16"/>
        </w:rPr>
        <w:t xml:space="preserve">2.3. Goma de Mascar: é o produto constituído por base gomosa, elástica, mastigável e não deglutível. Pode conter outros ingredientes, desde que não descaracterizem o produto e apresentar recheio, cobertura, formato e consistência variados. </w:t>
      </w:r>
    </w:p>
    <w:p w:rsidR="00B77D32" w:rsidRDefault="00B77D32">
      <w:pPr>
        <w:jc w:val="both"/>
        <w:rPr>
          <w:sz w:val="16"/>
          <w:szCs w:val="16"/>
        </w:rPr>
      </w:pPr>
    </w:p>
    <w:p w:rsidR="00B77D32" w:rsidRDefault="00B77D32">
      <w:pPr>
        <w:jc w:val="both"/>
        <w:rPr>
          <w:sz w:val="16"/>
          <w:szCs w:val="16"/>
        </w:rPr>
      </w:pPr>
      <w:r>
        <w:rPr>
          <w:sz w:val="16"/>
          <w:szCs w:val="16"/>
        </w:rPr>
        <w:t xml:space="preserve">3. DESIGNAÇÃO </w:t>
      </w:r>
    </w:p>
    <w:p w:rsidR="00B77D32" w:rsidRDefault="00B77D32">
      <w:pPr>
        <w:jc w:val="both"/>
        <w:rPr>
          <w:sz w:val="16"/>
          <w:szCs w:val="16"/>
        </w:rPr>
      </w:pPr>
      <w:r>
        <w:rPr>
          <w:sz w:val="16"/>
          <w:szCs w:val="16"/>
        </w:rPr>
        <w:t xml:space="preserve">Os produtos devem ser designados conforme descrito no item 2 (Definição) ou por denominações consagradas pelo uso. A designação pode ser seguida de expressões relativas ao(s) ingrediente(s) que caracteriza(m) o produto, forma de apresentação ou característica(s) específica(s). </w:t>
      </w:r>
    </w:p>
    <w:p w:rsidR="00B77D32" w:rsidRDefault="00B77D32">
      <w:pPr>
        <w:jc w:val="both"/>
        <w:rPr>
          <w:sz w:val="16"/>
          <w:szCs w:val="16"/>
        </w:rPr>
      </w:pPr>
    </w:p>
    <w:p w:rsidR="00B77D32" w:rsidRDefault="00B77D32">
      <w:pPr>
        <w:jc w:val="both"/>
        <w:rPr>
          <w:sz w:val="16"/>
          <w:szCs w:val="16"/>
        </w:rPr>
      </w:pPr>
      <w:r>
        <w:rPr>
          <w:sz w:val="16"/>
          <w:szCs w:val="16"/>
        </w:rPr>
        <w:t xml:space="preserve">4. REFERÊNCIAS BIBLIOGRÁFICAS </w:t>
      </w:r>
    </w:p>
    <w:p w:rsidR="00B77D32" w:rsidRDefault="00B77D32">
      <w:pPr>
        <w:jc w:val="both"/>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B77D32" w:rsidRDefault="00B77D32">
      <w:pPr>
        <w:jc w:val="both"/>
        <w:rPr>
          <w:sz w:val="16"/>
          <w:szCs w:val="16"/>
        </w:rPr>
      </w:pPr>
      <w:r>
        <w:rPr>
          <w:sz w:val="16"/>
          <w:szCs w:val="16"/>
        </w:rPr>
        <w:t xml:space="preserve">4.2. BRASIL. Decreto-Lei nº 986, de 21 de outubro de 1969. Institui normas básicas sobre alimentos. Diário Oficial da União, Brasília, DF, 21 out. 1969. Seção 1. </w:t>
      </w:r>
    </w:p>
    <w:p w:rsidR="00B77D32" w:rsidRDefault="00B77D32">
      <w:pPr>
        <w:jc w:val="both"/>
        <w:rPr>
          <w:sz w:val="16"/>
          <w:szCs w:val="16"/>
        </w:rPr>
      </w:pPr>
      <w:r>
        <w:rPr>
          <w:sz w:val="16"/>
          <w:szCs w:val="16"/>
        </w:rPr>
        <w:t xml:space="preserve">4.3. BRASIL. Resolução CNS nº 4, de 24 de novembro de 1988. Aprova revisão das Tabelas I, III, IV e V referente a Aditivos Intencionais, bem como os anexos I, II, III e VII, todos do Decreto nº 55.871, de 26 de março de 1965. Diário Oficial da União, Brasília, DF, 19 dez. 1988. Seção 1. </w:t>
      </w:r>
    </w:p>
    <w:p w:rsidR="00B77D32" w:rsidRDefault="00B77D32">
      <w:pPr>
        <w:jc w:val="both"/>
        <w:rPr>
          <w:sz w:val="16"/>
          <w:szCs w:val="16"/>
        </w:rPr>
      </w:pPr>
      <w:r>
        <w:rPr>
          <w:sz w:val="16"/>
          <w:szCs w:val="16"/>
        </w:rPr>
        <w:t xml:space="preserve">4.4. BRASIL. Lei nº 8.078, de 11 de setembro de 1990. Código de Defesa do Consumidor. Diário Oficial da União, Brasília, DF, 12 set. 1990. Suplemento. </w:t>
      </w:r>
    </w:p>
    <w:p w:rsidR="00B77D32" w:rsidRDefault="00B77D32">
      <w:pPr>
        <w:jc w:val="both"/>
        <w:rPr>
          <w:sz w:val="16"/>
          <w:szCs w:val="16"/>
        </w:rPr>
      </w:pPr>
      <w:r>
        <w:rPr>
          <w:sz w:val="16"/>
          <w:szCs w:val="16"/>
        </w:rPr>
        <w:t xml:space="preserve">4.5. BRASIL. Portaria MS nº 1.428, de 26 de novembro de 1993. Regulamento Técnico para Inspeção Sanitária de Alimentos. Diário Oficial da União, Brasília, DF, 02 dez. 1993. Seção 1. </w:t>
      </w:r>
    </w:p>
    <w:p w:rsidR="00B77D32" w:rsidRDefault="00B77D32">
      <w:pPr>
        <w:jc w:val="both"/>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B77D32" w:rsidRDefault="00B77D32">
      <w:pPr>
        <w:jc w:val="both"/>
        <w:rPr>
          <w:sz w:val="16"/>
          <w:szCs w:val="16"/>
        </w:rPr>
      </w:pPr>
      <w:r>
        <w:rPr>
          <w:sz w:val="16"/>
          <w:szCs w:val="16"/>
        </w:rPr>
        <w:t xml:space="preserve">4.7. BRASIL. Portaria SVS/MS nº 27, de 13 de janeiro de 1998. Regulamento Técnico Referente à Informação Nutricional Complementar. Diário Oficial da União, Brasília, DF, 16 jan. 1998. Seção 1. </w:t>
      </w:r>
    </w:p>
    <w:p w:rsidR="00B77D32" w:rsidRDefault="00B77D32">
      <w:pPr>
        <w:jc w:val="both"/>
        <w:rPr>
          <w:sz w:val="16"/>
          <w:szCs w:val="16"/>
        </w:rPr>
      </w:pPr>
      <w:r>
        <w:rPr>
          <w:sz w:val="16"/>
          <w:szCs w:val="16"/>
        </w:rPr>
        <w:t xml:space="preserve">4.8. BRASIL. Portaria SVS/MS nº 29, de 13 de janeiro de 1998. Regulamento Técnico referente a Alimentos para Fins Especiais. Diário Oficial da União, Brasília, DF, 15 jan. 1998. Seção 1. </w:t>
      </w:r>
    </w:p>
    <w:p w:rsidR="00B77D32" w:rsidRDefault="00B77D32">
      <w:pPr>
        <w:jc w:val="both"/>
        <w:rPr>
          <w:sz w:val="16"/>
          <w:szCs w:val="16"/>
        </w:rPr>
      </w:pPr>
      <w:r>
        <w:rPr>
          <w:sz w:val="16"/>
          <w:szCs w:val="16"/>
        </w:rPr>
        <w:t xml:space="preserve">4.9.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 </w:t>
      </w:r>
    </w:p>
    <w:p w:rsidR="00B77D32" w:rsidRDefault="00B77D32">
      <w:pPr>
        <w:jc w:val="both"/>
        <w:rPr>
          <w:sz w:val="16"/>
          <w:szCs w:val="16"/>
        </w:rPr>
      </w:pPr>
      <w:r>
        <w:rPr>
          <w:sz w:val="16"/>
          <w:szCs w:val="16"/>
        </w:rPr>
        <w:t>4.10. BRASIL. Resolução ANVS/MS nº. 16, de 30 de abril de 1999. Regulamento Técnico de Procedimento para Registro de alimentos e ou novos ingredientes. Diário Oficial da União, Brasília, DF, 03 mai. 1999. Seção 1.</w:t>
      </w:r>
    </w:p>
    <w:p w:rsidR="00B77D32" w:rsidRDefault="00B77D32">
      <w:pPr>
        <w:jc w:val="both"/>
        <w:rPr>
          <w:sz w:val="16"/>
          <w:szCs w:val="16"/>
        </w:rPr>
      </w:pPr>
      <w:r>
        <w:rPr>
          <w:sz w:val="16"/>
          <w:szCs w:val="16"/>
        </w:rPr>
        <w:t xml:space="preserve">4.11. BRASIL. Resolução ANVS/MS nº 17, de 30 de abril de 1999. Regulamento Técnico que estabelece as Diretrizes Básicas para a Avaliação de Risco e Segurança dos Alimentos. Diário Oficial da União, Brasília, DF, 03 mai. 1999. Seção 1. </w:t>
      </w:r>
    </w:p>
    <w:p w:rsidR="00B77D32" w:rsidRDefault="00B77D32">
      <w:pPr>
        <w:jc w:val="both"/>
        <w:rPr>
          <w:sz w:val="16"/>
          <w:szCs w:val="16"/>
        </w:rPr>
      </w:pPr>
      <w:r>
        <w:rPr>
          <w:sz w:val="16"/>
          <w:szCs w:val="16"/>
        </w:rPr>
        <w:t xml:space="preserve">4.12. BRASIL. Resolução ANVS/MS nº 386 de 05 de agosto de 1999. Regulamento Técnico que aprova o uso de Aditivos Alimentares segundo as Boas Práticas de Fabricação e suas funções. Diário Oficial da União, Brasília, DF, 09 ago. 1999. Seção 1. </w:t>
      </w:r>
    </w:p>
    <w:p w:rsidR="00B77D32" w:rsidRDefault="00B77D32">
      <w:pPr>
        <w:jc w:val="both"/>
        <w:rPr>
          <w:sz w:val="16"/>
          <w:szCs w:val="16"/>
        </w:rPr>
      </w:pPr>
      <w:r>
        <w:rPr>
          <w:sz w:val="16"/>
          <w:szCs w:val="16"/>
        </w:rPr>
        <w:t xml:space="preserve">4.13. BRASIL. Resolução ANVS/MS nº 387 de 05 de agosto de 1999. Regulamento Técnico que aprova o uso de Aditivos Alimentares, estabelecendo suas Funções e seus Limites Máximos para a Categoria de Alimentos 5: Balas, Confeitos, Bombons, Chocolates e Similares. Diário Oficial da União, Brasília, DF, 09 ago. 1999, Seção 1. </w:t>
      </w:r>
    </w:p>
    <w:p w:rsidR="00B77D32" w:rsidRDefault="00B77D32">
      <w:pPr>
        <w:jc w:val="both"/>
        <w:rPr>
          <w:sz w:val="16"/>
          <w:szCs w:val="16"/>
        </w:rPr>
      </w:pPr>
      <w:r>
        <w:rPr>
          <w:sz w:val="16"/>
          <w:szCs w:val="16"/>
        </w:rPr>
        <w:t xml:space="preserve">4.14. BRASIL. Resolução ANVS/MS nº 22, de 15 de março de 2000.  Procedimentos de Registro e Dispensa da Obrigatoriedade de Registro de Produtos Importados Pertinentes à Área de Alimentos. Diário Oficial da União, Brasília, DF, 16 mar. 2000. Seção 1. </w:t>
      </w:r>
    </w:p>
    <w:p w:rsidR="00B77D32" w:rsidRDefault="00B77D32">
      <w:pPr>
        <w:jc w:val="both"/>
        <w:rPr>
          <w:sz w:val="16"/>
          <w:szCs w:val="16"/>
        </w:rPr>
      </w:pPr>
      <w:r>
        <w:rPr>
          <w:sz w:val="16"/>
          <w:szCs w:val="16"/>
        </w:rPr>
        <w:t xml:space="preserve">4.15. BRASIL. Resolução ANVS/MS nº 23, de 15 de março de 2000.  Manual de Procedimentos Básicos para Registro e Dispensa da Obrigatoriedade de Registro de Produtos Pertinentes à Área de Alimentos. Diário Oficial da União, Brasília, 16 mar. 2000. Seção 1. </w:t>
      </w:r>
    </w:p>
    <w:p w:rsidR="00B77D32" w:rsidRDefault="00B77D32">
      <w:pPr>
        <w:jc w:val="both"/>
        <w:rPr>
          <w:sz w:val="16"/>
          <w:szCs w:val="16"/>
        </w:rPr>
      </w:pPr>
      <w:r>
        <w:rPr>
          <w:sz w:val="16"/>
          <w:szCs w:val="16"/>
        </w:rPr>
        <w:t xml:space="preserve">4.16. BRASIL. Resolução RDC ANVISA/MS nº 12, de 02 de janeiro de 2001. Regulamento Técnico sobre os Padrões Microbiológicos para Alimentos. Diário Oficial da União, Brasília, DF, 10 jan. 2001. Seção 1. </w:t>
      </w:r>
    </w:p>
    <w:p w:rsidR="00B77D32" w:rsidRDefault="00B77D32">
      <w:pPr>
        <w:jc w:val="both"/>
        <w:rPr>
          <w:sz w:val="16"/>
          <w:szCs w:val="16"/>
        </w:rPr>
      </w:pPr>
      <w:r>
        <w:rPr>
          <w:sz w:val="16"/>
          <w:szCs w:val="16"/>
        </w:rPr>
        <w:t xml:space="preserve">4.17. BRASIL. Resolução RDC ANVISA/MS nº 234, de 19 de agosto de 2002. Regulamento Técnico sobre aditivos utilizados segundo as Boas Práticas de Fabricação e suas funções. Diário Oficial da União, Brasília, DF, 21 ago. 2002. Seção 1. </w:t>
      </w:r>
    </w:p>
    <w:p w:rsidR="00B77D32" w:rsidRDefault="00B77D32">
      <w:pPr>
        <w:jc w:val="both"/>
        <w:rPr>
          <w:sz w:val="16"/>
          <w:szCs w:val="16"/>
        </w:rPr>
      </w:pPr>
      <w:r>
        <w:rPr>
          <w:sz w:val="16"/>
          <w:szCs w:val="16"/>
        </w:rPr>
        <w:lastRenderedPageBreak/>
        <w:t xml:space="preserve">4.18. BRASIL. Resolução RDC ANVISA/MS nº 259, de 20 de setembro de 2002. Regulamento Técnico para Rotulagem de Alimentos Embalados. Diário Oficial da União, Brasília, DF, 23 set. 2002. Seção 1. </w:t>
      </w:r>
    </w:p>
    <w:p w:rsidR="00B77D32" w:rsidRDefault="00B77D32">
      <w:pPr>
        <w:jc w:val="both"/>
        <w:rPr>
          <w:sz w:val="16"/>
          <w:szCs w:val="16"/>
        </w:rPr>
      </w:pPr>
      <w:r>
        <w:rPr>
          <w:sz w:val="16"/>
          <w:szCs w:val="16"/>
        </w:rPr>
        <w:t xml:space="preserve">4.19.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B77D32" w:rsidRDefault="00B77D32">
      <w:pPr>
        <w:jc w:val="both"/>
        <w:rPr>
          <w:sz w:val="16"/>
          <w:szCs w:val="16"/>
        </w:rPr>
      </w:pPr>
      <w:r>
        <w:rPr>
          <w:sz w:val="16"/>
          <w:szCs w:val="16"/>
        </w:rPr>
        <w:t xml:space="preserve">4.20. BRASIL. Lei nº 10.674, de 16 de maio de 2003. Obriga a que os produtos alimentícios comercializados informem sobre a presença de glúten, como medida preventiva e de controle da doença celíaca. Diário Oficial da União, Brasília, DF, 19 mai. 2003. Seção 1. </w:t>
      </w:r>
    </w:p>
    <w:p w:rsidR="00B77D32" w:rsidRDefault="00B77D32">
      <w:pPr>
        <w:jc w:val="both"/>
        <w:rPr>
          <w:sz w:val="16"/>
          <w:szCs w:val="16"/>
        </w:rPr>
      </w:pPr>
      <w:r>
        <w:rPr>
          <w:sz w:val="16"/>
          <w:szCs w:val="16"/>
        </w:rPr>
        <w:t xml:space="preserve">4.21. BRASIL. Resolução RDC ANVISA/MS nº 175, de 08 de julho de 2003. Regulamento Técnico de Avaliação de Matérias Macroscópicas e Microscópicas Prejudiciais à Saúde Humana em Alimentos Embalados. Diário Oficial da União, Brasília, DF, 09 jul. 2003. Seção 1. </w:t>
      </w:r>
    </w:p>
    <w:p w:rsidR="00B77D32" w:rsidRDefault="00B77D32">
      <w:pPr>
        <w:jc w:val="both"/>
        <w:rPr>
          <w:sz w:val="16"/>
          <w:szCs w:val="16"/>
        </w:rPr>
      </w:pPr>
      <w:r>
        <w:rPr>
          <w:sz w:val="16"/>
          <w:szCs w:val="16"/>
        </w:rPr>
        <w:t xml:space="preserve">4.22. BRASIL. Resolução RDC ANVISA/MS nº 359, de 23 de dezembro de 2003. Regulamento Técnico de Porções de Alimentos Embalados para Fins de Rotulagem Nutricional. Diário Oficial da União, Brasília, DF, 26 dez. 2003. Seção 1. </w:t>
      </w:r>
    </w:p>
    <w:p w:rsidR="00B77D32" w:rsidRDefault="00B77D32">
      <w:pPr>
        <w:jc w:val="both"/>
        <w:rPr>
          <w:sz w:val="16"/>
          <w:szCs w:val="16"/>
        </w:rPr>
      </w:pPr>
      <w:r>
        <w:rPr>
          <w:sz w:val="16"/>
          <w:szCs w:val="16"/>
        </w:rPr>
        <w:t xml:space="preserve">4.23. BRASIL. Resolução RDC ANVISA/MS nº 360, de 23 de dezembro de 2003. Regulamento Técnico sobre Rotulagem Nutricional de Alimentos Embalados. Diário Oficial da União, Brasília, DF, 26 dez. 2003. Seção 1. </w:t>
      </w:r>
    </w:p>
    <w:p w:rsidR="00B77D32" w:rsidRDefault="00B77D32">
      <w:pPr>
        <w:jc w:val="both"/>
        <w:rPr>
          <w:sz w:val="16"/>
          <w:szCs w:val="16"/>
        </w:rPr>
      </w:pPr>
      <w:r>
        <w:rPr>
          <w:sz w:val="16"/>
          <w:szCs w:val="16"/>
        </w:rPr>
        <w:t>4.24. BRASIL. Resolução RDC ANVISA/MS nº 201, de 05 de julho de 2005. Proíbe o uso do aditivo INS 425 Konjac (goma konjac, farinha de konjac ou glucomanano de konjac) em produtos de sobremesas, balas e similares à base de gelificantes. Diário Oficial da União, Brasília, DF, 06 jul. 2005. Seção 1.</w:t>
      </w:r>
    </w:p>
    <w:p w:rsidR="00B77D32" w:rsidRDefault="00B77D32">
      <w:pPr>
        <w:jc w:val="both"/>
        <w:rPr>
          <w:sz w:val="16"/>
          <w:szCs w:val="16"/>
        </w:rPr>
      </w:pPr>
    </w:p>
    <w:p w:rsidR="00B77D32" w:rsidRDefault="00B77D32">
      <w:pPr>
        <w:jc w:val="both"/>
        <w:rPr>
          <w:sz w:val="16"/>
          <w:szCs w:val="16"/>
        </w:rPr>
      </w:pPr>
      <w:r>
        <w:rPr>
          <w:sz w:val="16"/>
          <w:szCs w:val="16"/>
        </w:rPr>
        <w:t xml:space="preserve">5. REQUISITOS GERAIS </w:t>
      </w:r>
    </w:p>
    <w:p w:rsidR="00B77D32" w:rsidRDefault="00B77D32">
      <w:pPr>
        <w:jc w:val="both"/>
        <w:rPr>
          <w:sz w:val="16"/>
          <w:szCs w:val="16"/>
        </w:rPr>
      </w:pPr>
      <w:r>
        <w:rPr>
          <w:sz w:val="16"/>
          <w:szCs w:val="16"/>
        </w:rPr>
        <w:t>5.1.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w:t>
      </w:r>
    </w:p>
    <w:p w:rsidR="00B77D32" w:rsidRDefault="00B77D32">
      <w:pPr>
        <w:jc w:val="both"/>
        <w:rPr>
          <w:sz w:val="16"/>
          <w:szCs w:val="16"/>
        </w:rPr>
      </w:pPr>
      <w:r>
        <w:rPr>
          <w:sz w:val="16"/>
          <w:szCs w:val="16"/>
        </w:rPr>
        <w:t xml:space="preserve">5.2.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B77D32" w:rsidRDefault="00B77D32">
      <w:pPr>
        <w:jc w:val="both"/>
        <w:rPr>
          <w:sz w:val="16"/>
          <w:szCs w:val="16"/>
        </w:rPr>
      </w:pPr>
      <w:r>
        <w:rPr>
          <w:sz w:val="16"/>
          <w:szCs w:val="16"/>
        </w:rPr>
        <w:t>5.3. A utilização de ingrediente que não é usado tradicionalmente como alimento, pode ser autorizada desde que seja comprovada a segurança de uso, em atendimento a Regulamento Técnico específico.</w:t>
      </w:r>
    </w:p>
    <w:p w:rsidR="00B77D32" w:rsidRDefault="00B77D32">
      <w:pPr>
        <w:rPr>
          <w:sz w:val="16"/>
          <w:szCs w:val="16"/>
        </w:rPr>
      </w:pPr>
    </w:p>
    <w:sectPr w:rsidR="00B77D32" w:rsidSect="00B77D32">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52E99"/>
    <w:multiLevelType w:val="multilevel"/>
    <w:tmpl w:val="DCB49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3508A2"/>
    <w:multiLevelType w:val="singleLevel"/>
    <w:tmpl w:val="0416000F"/>
    <w:lvl w:ilvl="0">
      <w:start w:val="1"/>
      <w:numFmt w:val="decimal"/>
      <w:lvlText w:val="%1."/>
      <w:lvlJc w:val="left"/>
      <w:pPr>
        <w:tabs>
          <w:tab w:val="num" w:pos="360"/>
        </w:tabs>
        <w:ind w:left="360" w:hanging="360"/>
      </w:pPr>
      <w:rPr>
        <w:rFonts w:cs="Times New Roman" w:hint="default"/>
      </w:rPr>
    </w:lvl>
  </w:abstractNum>
  <w:abstractNum w:abstractNumId="2" w15:restartNumberingAfterBreak="0">
    <w:nsid w:val="712E434B"/>
    <w:multiLevelType w:val="singleLevel"/>
    <w:tmpl w:val="04160019"/>
    <w:lvl w:ilvl="0">
      <w:start w:val="1"/>
      <w:numFmt w:val="lowerLetter"/>
      <w:lvlText w:val="(%1)"/>
      <w:lvlJc w:val="left"/>
      <w:pPr>
        <w:tabs>
          <w:tab w:val="num" w:pos="360"/>
        </w:tabs>
        <w:ind w:left="360" w:hanging="360"/>
      </w:pPr>
      <w:rPr>
        <w:rFonts w:cs="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77D32"/>
    <w:rsid w:val="00467817"/>
    <w:rsid w:val="00B77D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caption" w:semiHidden="1" w:uiPriority="35" w:unhideWhenUsed="1" w:qFormat="1"/>
    <w:lsdException w:name="annotation reference"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ind w:firstLine="567"/>
      <w:outlineLvl w:val="1"/>
    </w:pPr>
    <w:rPr>
      <w:rFonts w:ascii="Arial" w:hAnsi="Arial" w:cs="Arial"/>
      <w:b/>
      <w:bCs/>
      <w:color w:val="000000"/>
      <w:sz w:val="24"/>
      <w:szCs w:val="24"/>
    </w:rPr>
  </w:style>
  <w:style w:type="paragraph" w:styleId="Ttulo3">
    <w:name w:val="heading 3"/>
    <w:basedOn w:val="Normal"/>
    <w:next w:val="Normal"/>
    <w:link w:val="Ttulo3Char"/>
    <w:uiPriority w:val="99"/>
    <w:qFormat/>
    <w:pPr>
      <w:keepNext/>
      <w:ind w:firstLine="567"/>
      <w:jc w:val="center"/>
      <w:outlineLvl w:val="2"/>
    </w:pPr>
    <w:rPr>
      <w:rFonts w:ascii="Arial" w:hAnsi="Arial" w:cs="Arial"/>
      <w:b/>
      <w:bCs/>
      <w:strike/>
      <w:color w:val="000000"/>
    </w:rPr>
  </w:style>
  <w:style w:type="paragraph" w:styleId="Ttulo4">
    <w:name w:val="heading 4"/>
    <w:basedOn w:val="Normal"/>
    <w:next w:val="Normal"/>
    <w:link w:val="Ttulo4Char"/>
    <w:uiPriority w:val="99"/>
    <w:qFormat/>
    <w:pPr>
      <w:keepNext/>
      <w:ind w:firstLine="567"/>
      <w:outlineLvl w:val="3"/>
    </w:pPr>
    <w:rPr>
      <w:rFonts w:ascii="Arial" w:hAnsi="Arial" w:cs="Arial"/>
      <w:b/>
      <w:bCs/>
      <w:color w:val="000000"/>
    </w:rPr>
  </w:style>
  <w:style w:type="paragraph" w:styleId="Ttulo5">
    <w:name w:val="heading 5"/>
    <w:basedOn w:val="Normal"/>
    <w:next w:val="Normal"/>
    <w:link w:val="Ttulo5Char"/>
    <w:uiPriority w:val="99"/>
    <w:qFormat/>
    <w:pPr>
      <w:keepNext/>
      <w:ind w:firstLine="567"/>
      <w:jc w:val="center"/>
      <w:outlineLvl w:val="4"/>
    </w:pPr>
    <w:rPr>
      <w:rFonts w:ascii="Arial" w:hAnsi="Arial" w:cs="Arial"/>
      <w:sz w:val="24"/>
      <w:szCs w:val="24"/>
    </w:rPr>
  </w:style>
  <w:style w:type="paragraph" w:styleId="Ttulo7">
    <w:name w:val="heading 7"/>
    <w:basedOn w:val="Default"/>
    <w:next w:val="Default"/>
    <w:link w:val="Ttulo7Char"/>
    <w:uiPriority w:val="99"/>
    <w:qFormat/>
    <w:pPr>
      <w:outlineLvl w:val="6"/>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customStyle="1" w:styleId="DefinitionTerm">
    <w:name w:val="Definition Term"/>
    <w:basedOn w:val="Default"/>
    <w:next w:val="Default"/>
    <w:uiPriority w:val="99"/>
    <w:rPr>
      <w:color w:val="auto"/>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NormalWeb">
    <w:name w:val="Normal (Web)"/>
    <w:basedOn w:val="Default"/>
    <w:next w:val="Default"/>
    <w:uiPriority w:val="99"/>
    <w:pPr>
      <w:spacing w:before="100" w:after="100"/>
    </w:pPr>
    <w:rPr>
      <w:color w:val="auto"/>
    </w:rPr>
  </w:style>
  <w:style w:type="paragraph" w:styleId="Recuodecorpodetexto2">
    <w:name w:val="Body Text Indent 2"/>
    <w:basedOn w:val="Normal"/>
    <w:link w:val="Recuodecorpodetexto2Char"/>
    <w:uiPriority w:val="99"/>
    <w:pPr>
      <w:ind w:firstLine="567"/>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character" w:styleId="Forte">
    <w:name w:val="Strong"/>
    <w:basedOn w:val="Fontepargpadro"/>
    <w:uiPriority w:val="99"/>
    <w:qFormat/>
    <w:rPr>
      <w:rFonts w:cs="Times New Roman"/>
      <w:b/>
      <w:bCs/>
    </w:rPr>
  </w:style>
  <w:style w:type="paragraph" w:styleId="Recuodecorpodetexto3">
    <w:name w:val="Body Text Indent 3"/>
    <w:basedOn w:val="Normal"/>
    <w:link w:val="Recuodecorpodetexto3Char"/>
    <w:uiPriority w:val="99"/>
    <w:pPr>
      <w:ind w:firstLine="567"/>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1556</Words>
  <Characters>8404</Characters>
  <Application>Microsoft Office Word</Application>
  <DocSecurity>0</DocSecurity>
  <Lines>70</Lines>
  <Paragraphs>19</Paragraphs>
  <ScaleCrop>false</ScaleCrop>
  <Company>Fundaçao de Ciencia e Tecnologia</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78, de 13 de dezembro de 2004</dc:title>
  <dc:subject/>
  <dc:creator>Lina</dc:creator>
  <cp:keywords/>
  <dc:description/>
  <cp:lastModifiedBy>Julia de Souza Ferreira</cp:lastModifiedBy>
  <cp:revision>2</cp:revision>
  <cp:lastPrinted>2005-09-22T15:51:00Z</cp:lastPrinted>
  <dcterms:created xsi:type="dcterms:W3CDTF">2018-11-27T16:06:00Z</dcterms:created>
  <dcterms:modified xsi:type="dcterms:W3CDTF">2018-11-27T16:06:00Z</dcterms:modified>
</cp:coreProperties>
</file>