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78B" w:rsidRPr="00666CDA" w:rsidRDefault="00666CDA" w:rsidP="0034707F">
      <w:pPr>
        <w:ind w:left="-284" w:right="-284"/>
        <w:jc w:val="center"/>
        <w:rPr>
          <w:b/>
          <w:bCs/>
          <w:sz w:val="22"/>
          <w:szCs w:val="24"/>
        </w:rPr>
      </w:pPr>
      <w:r w:rsidRPr="00666CDA">
        <w:rPr>
          <w:b/>
          <w:bCs/>
          <w:sz w:val="22"/>
          <w:szCs w:val="24"/>
        </w:rPr>
        <w:t>RESOLUÇÃO D</w:t>
      </w:r>
      <w:r w:rsidR="00F17584">
        <w:rPr>
          <w:b/>
          <w:bCs/>
          <w:sz w:val="22"/>
          <w:szCs w:val="24"/>
        </w:rPr>
        <w:t>E</w:t>
      </w:r>
      <w:r w:rsidRPr="00666CDA">
        <w:rPr>
          <w:b/>
          <w:bCs/>
          <w:sz w:val="22"/>
          <w:szCs w:val="24"/>
        </w:rPr>
        <w:t xml:space="preserve"> DIRETORIA COLEGIADA - RDC Nº 275, DE 30 DE SETEMBRO DE 2003</w:t>
      </w:r>
    </w:p>
    <w:p w:rsidR="008331CD" w:rsidRDefault="008331CD" w:rsidP="00D760BE">
      <w:pPr>
        <w:ind w:firstLine="567"/>
        <w:jc w:val="center"/>
        <w:rPr>
          <w:b/>
          <w:bCs/>
          <w:sz w:val="24"/>
          <w:szCs w:val="24"/>
        </w:rPr>
      </w:pPr>
    </w:p>
    <w:p w:rsidR="00D760BE" w:rsidRDefault="00D760BE" w:rsidP="00D760BE">
      <w:pPr>
        <w:ind w:firstLine="567"/>
        <w:jc w:val="center"/>
        <w:rPr>
          <w:b/>
          <w:bCs/>
          <w:color w:val="0000FF"/>
          <w:sz w:val="24"/>
          <w:szCs w:val="24"/>
        </w:rPr>
      </w:pPr>
      <w:r w:rsidRPr="00D760BE">
        <w:rPr>
          <w:b/>
          <w:bCs/>
          <w:color w:val="0000FF"/>
          <w:sz w:val="24"/>
          <w:szCs w:val="24"/>
        </w:rPr>
        <w:t xml:space="preserve">(Publicada em </w:t>
      </w:r>
      <w:r w:rsidR="00F17584">
        <w:rPr>
          <w:b/>
          <w:bCs/>
          <w:color w:val="0000FF"/>
          <w:sz w:val="24"/>
          <w:szCs w:val="24"/>
        </w:rPr>
        <w:t xml:space="preserve">DOU nº 190, de </w:t>
      </w:r>
      <w:r>
        <w:rPr>
          <w:b/>
          <w:bCs/>
          <w:color w:val="0000FF"/>
          <w:sz w:val="24"/>
          <w:szCs w:val="24"/>
        </w:rPr>
        <w:t>1</w:t>
      </w:r>
      <w:r w:rsidR="00F17584">
        <w:rPr>
          <w:b/>
          <w:bCs/>
          <w:color w:val="0000FF"/>
          <w:sz w:val="24"/>
          <w:szCs w:val="24"/>
        </w:rPr>
        <w:t>º</w:t>
      </w:r>
      <w:r>
        <w:rPr>
          <w:b/>
          <w:bCs/>
          <w:color w:val="0000FF"/>
          <w:sz w:val="24"/>
          <w:szCs w:val="24"/>
        </w:rPr>
        <w:t xml:space="preserve"> de outubro de 2003)</w:t>
      </w:r>
    </w:p>
    <w:p w:rsidR="008331CD" w:rsidRDefault="008331CD" w:rsidP="00D760BE">
      <w:pPr>
        <w:ind w:firstLine="567"/>
        <w:jc w:val="center"/>
        <w:rPr>
          <w:b/>
          <w:bCs/>
          <w:color w:val="0000FF"/>
          <w:sz w:val="24"/>
          <w:szCs w:val="24"/>
        </w:rPr>
      </w:pPr>
    </w:p>
    <w:p w:rsidR="00035C10" w:rsidRDefault="00035C10" w:rsidP="00D760BE">
      <w:pPr>
        <w:ind w:firstLine="567"/>
        <w:jc w:val="center"/>
        <w:rPr>
          <w:b/>
          <w:bCs/>
          <w:color w:val="0000FF"/>
          <w:sz w:val="24"/>
          <w:szCs w:val="24"/>
        </w:rPr>
      </w:pPr>
      <w:r w:rsidRPr="002D02AD">
        <w:rPr>
          <w:b/>
          <w:bCs/>
          <w:color w:val="0000FF"/>
          <w:sz w:val="24"/>
          <w:szCs w:val="24"/>
        </w:rPr>
        <w:t>(Revogada pela Resolução – RDC nº 222, de 28 de dezembro de 2006)</w:t>
      </w:r>
    </w:p>
    <w:p w:rsidR="0060678B" w:rsidRPr="00D760BE" w:rsidRDefault="0060678B">
      <w:pPr>
        <w:ind w:firstLine="567"/>
        <w:jc w:val="both"/>
        <w:rPr>
          <w:sz w:val="24"/>
          <w:szCs w:val="24"/>
        </w:rPr>
      </w:pPr>
    </w:p>
    <w:p w:rsidR="0060678B" w:rsidRPr="00A17DE5" w:rsidRDefault="0060678B">
      <w:pPr>
        <w:ind w:firstLine="567"/>
        <w:jc w:val="both"/>
        <w:rPr>
          <w:strike/>
          <w:sz w:val="24"/>
          <w:szCs w:val="24"/>
        </w:rPr>
      </w:pPr>
      <w:r w:rsidRPr="00A17DE5">
        <w:rPr>
          <w:b/>
          <w:bCs/>
          <w:strike/>
          <w:sz w:val="24"/>
          <w:szCs w:val="24"/>
        </w:rPr>
        <w:t>A Diretoria Colegiada da Agência Nacional de Vigilância Sanitária</w:t>
      </w:r>
      <w:r w:rsidRPr="00A17DE5">
        <w:rPr>
          <w:strike/>
          <w:sz w:val="24"/>
          <w:szCs w:val="24"/>
        </w:rPr>
        <w:t xml:space="preserve">, no uso da atribuição que lhe confere o art. 11, inciso IV, do Regulamento da ANVISA aprovado pelo Decreto n.º 3.029, de 16 de abril de 1999, c/c o art. 111, inciso I, alínea "b", § 1º do Regimento Interno aprovado pela Portaria n.º 593, de 25 de agosto de 2000, publicada no D.O.U. </w:t>
      </w:r>
      <w:proofErr w:type="gramStart"/>
      <w:r w:rsidRPr="00A17DE5">
        <w:rPr>
          <w:strike/>
          <w:sz w:val="24"/>
          <w:szCs w:val="24"/>
        </w:rPr>
        <w:t>de</w:t>
      </w:r>
      <w:proofErr w:type="gramEnd"/>
      <w:r w:rsidRPr="00A17DE5">
        <w:rPr>
          <w:strike/>
          <w:sz w:val="24"/>
          <w:szCs w:val="24"/>
        </w:rPr>
        <w:t xml:space="preserve"> 22 de dezembro de 2000, em reunião realizada em 24 de setembro de 2003;</w:t>
      </w:r>
    </w:p>
    <w:p w:rsidR="0060678B" w:rsidRPr="00A17DE5" w:rsidRDefault="0060678B">
      <w:pPr>
        <w:ind w:firstLine="567"/>
        <w:jc w:val="both"/>
        <w:rPr>
          <w:strike/>
          <w:sz w:val="24"/>
          <w:szCs w:val="24"/>
        </w:rPr>
      </w:pPr>
    </w:p>
    <w:p w:rsidR="0060678B" w:rsidRPr="00A17DE5" w:rsidRDefault="0060678B">
      <w:pPr>
        <w:ind w:firstLine="567"/>
        <w:jc w:val="both"/>
        <w:rPr>
          <w:strike/>
          <w:sz w:val="24"/>
          <w:szCs w:val="24"/>
        </w:rPr>
      </w:pPr>
      <w:proofErr w:type="gramStart"/>
      <w:r w:rsidRPr="00A17DE5">
        <w:rPr>
          <w:strike/>
          <w:sz w:val="24"/>
          <w:szCs w:val="24"/>
        </w:rPr>
        <w:t>considerando</w:t>
      </w:r>
      <w:proofErr w:type="gramEnd"/>
      <w:r w:rsidRPr="00A17DE5">
        <w:rPr>
          <w:strike/>
          <w:sz w:val="24"/>
          <w:szCs w:val="24"/>
        </w:rPr>
        <w:t xml:space="preserve"> o disposto na RDC n.º 23, de 6 de fevereiro de 2003, publicada no D.O.U. </w:t>
      </w:r>
      <w:proofErr w:type="gramStart"/>
      <w:r w:rsidRPr="00A17DE5">
        <w:rPr>
          <w:strike/>
          <w:sz w:val="24"/>
          <w:szCs w:val="24"/>
        </w:rPr>
        <w:t>de</w:t>
      </w:r>
      <w:proofErr w:type="gramEnd"/>
      <w:r w:rsidRPr="00A17DE5">
        <w:rPr>
          <w:strike/>
          <w:sz w:val="24"/>
          <w:szCs w:val="24"/>
        </w:rPr>
        <w:t xml:space="preserve"> 7 de fevereiro de 2003;</w:t>
      </w:r>
    </w:p>
    <w:p w:rsidR="0060678B" w:rsidRPr="00A17DE5" w:rsidRDefault="0060678B">
      <w:pPr>
        <w:ind w:firstLine="567"/>
        <w:jc w:val="both"/>
        <w:rPr>
          <w:strike/>
          <w:sz w:val="24"/>
          <w:szCs w:val="24"/>
        </w:rPr>
      </w:pPr>
    </w:p>
    <w:p w:rsidR="0060678B" w:rsidRPr="00A17DE5" w:rsidRDefault="0060678B">
      <w:pPr>
        <w:ind w:firstLine="567"/>
        <w:jc w:val="both"/>
        <w:rPr>
          <w:strike/>
          <w:sz w:val="24"/>
          <w:szCs w:val="24"/>
        </w:rPr>
      </w:pPr>
      <w:proofErr w:type="gramStart"/>
      <w:r w:rsidRPr="00A17DE5">
        <w:rPr>
          <w:strike/>
          <w:sz w:val="24"/>
          <w:szCs w:val="24"/>
        </w:rPr>
        <w:t>considerando</w:t>
      </w:r>
      <w:proofErr w:type="gramEnd"/>
      <w:r w:rsidRPr="00A17DE5">
        <w:rPr>
          <w:strike/>
          <w:sz w:val="24"/>
          <w:szCs w:val="24"/>
        </w:rPr>
        <w:t xml:space="preserve"> o disposto na RDC n.º 76, de 9 de abril de 2003, publicada no D.O.U. </w:t>
      </w:r>
      <w:proofErr w:type="gramStart"/>
      <w:r w:rsidRPr="00A17DE5">
        <w:rPr>
          <w:strike/>
          <w:sz w:val="24"/>
          <w:szCs w:val="24"/>
        </w:rPr>
        <w:t>de</w:t>
      </w:r>
      <w:proofErr w:type="gramEnd"/>
      <w:r w:rsidRPr="00A17DE5">
        <w:rPr>
          <w:strike/>
          <w:sz w:val="24"/>
          <w:szCs w:val="24"/>
        </w:rPr>
        <w:t xml:space="preserve"> 10 de abril de 2003; e</w:t>
      </w:r>
    </w:p>
    <w:p w:rsidR="0060678B" w:rsidRPr="00A17DE5" w:rsidRDefault="0060678B">
      <w:pPr>
        <w:ind w:firstLine="567"/>
        <w:jc w:val="both"/>
        <w:rPr>
          <w:strike/>
          <w:sz w:val="24"/>
          <w:szCs w:val="24"/>
        </w:rPr>
      </w:pPr>
    </w:p>
    <w:p w:rsidR="0060678B" w:rsidRPr="00A17DE5" w:rsidRDefault="0060678B">
      <w:pPr>
        <w:ind w:firstLine="567"/>
        <w:jc w:val="both"/>
        <w:rPr>
          <w:strike/>
          <w:sz w:val="24"/>
          <w:szCs w:val="24"/>
        </w:rPr>
      </w:pPr>
      <w:proofErr w:type="gramStart"/>
      <w:r w:rsidRPr="00A17DE5">
        <w:rPr>
          <w:strike/>
          <w:sz w:val="24"/>
          <w:szCs w:val="24"/>
        </w:rPr>
        <w:t>considerando</w:t>
      </w:r>
      <w:proofErr w:type="gramEnd"/>
      <w:r w:rsidRPr="00A17DE5">
        <w:rPr>
          <w:strike/>
          <w:sz w:val="24"/>
          <w:szCs w:val="24"/>
        </w:rPr>
        <w:t xml:space="preserve"> o disposto na RDC n.º 86, de 23 de abril de 2003, publicada no D.O.U. </w:t>
      </w:r>
      <w:proofErr w:type="gramStart"/>
      <w:r w:rsidRPr="00A17DE5">
        <w:rPr>
          <w:strike/>
          <w:sz w:val="24"/>
          <w:szCs w:val="24"/>
        </w:rPr>
        <w:t>de</w:t>
      </w:r>
      <w:proofErr w:type="gramEnd"/>
      <w:r w:rsidRPr="00A17DE5">
        <w:rPr>
          <w:strike/>
          <w:sz w:val="24"/>
          <w:szCs w:val="24"/>
        </w:rPr>
        <w:t xml:space="preserve"> 25 de abril de 2003,</w:t>
      </w:r>
    </w:p>
    <w:p w:rsidR="0060678B" w:rsidRPr="00A17DE5" w:rsidRDefault="0060678B">
      <w:pPr>
        <w:ind w:firstLine="567"/>
        <w:jc w:val="both"/>
        <w:rPr>
          <w:strike/>
          <w:sz w:val="24"/>
          <w:szCs w:val="24"/>
        </w:rPr>
      </w:pPr>
    </w:p>
    <w:p w:rsidR="0060678B" w:rsidRPr="00A17DE5" w:rsidRDefault="0060678B">
      <w:pPr>
        <w:ind w:firstLine="567"/>
        <w:jc w:val="both"/>
        <w:rPr>
          <w:strike/>
          <w:sz w:val="24"/>
          <w:szCs w:val="24"/>
        </w:rPr>
      </w:pPr>
      <w:r w:rsidRPr="00A17DE5">
        <w:rPr>
          <w:strike/>
          <w:sz w:val="24"/>
          <w:szCs w:val="24"/>
        </w:rPr>
        <w:t>Adota a seguinte Resolução e eu, Diretor-Presidente, determino a sua publicação:</w:t>
      </w:r>
    </w:p>
    <w:p w:rsidR="0060678B" w:rsidRPr="00A17DE5" w:rsidRDefault="0060678B">
      <w:pPr>
        <w:ind w:firstLine="567"/>
        <w:jc w:val="both"/>
        <w:rPr>
          <w:strike/>
          <w:sz w:val="24"/>
          <w:szCs w:val="24"/>
        </w:rPr>
      </w:pPr>
    </w:p>
    <w:p w:rsidR="0060678B" w:rsidRPr="00A17DE5" w:rsidRDefault="0060678B">
      <w:pPr>
        <w:ind w:firstLine="567"/>
        <w:jc w:val="both"/>
        <w:rPr>
          <w:strike/>
          <w:sz w:val="24"/>
          <w:szCs w:val="24"/>
        </w:rPr>
      </w:pPr>
      <w:r w:rsidRPr="00A17DE5">
        <w:rPr>
          <w:strike/>
          <w:sz w:val="24"/>
          <w:szCs w:val="24"/>
        </w:rPr>
        <w:t>Art.1º Fica prorrogada a autorização para utilização de rotinas não informatizadas quanto ao processamento e recebimento dos formulários de petição (FP) a serem entregues no âmbito da ANVISA enquanto não estiverem eletronicamente disponíveis para a área desejada no sistema de atendimento e arrecadação online ou enquanto o acesso à petição manual permanecer liberado.</w:t>
      </w:r>
    </w:p>
    <w:p w:rsidR="0060678B" w:rsidRPr="00A17DE5" w:rsidRDefault="0060678B">
      <w:pPr>
        <w:ind w:firstLine="567"/>
        <w:jc w:val="both"/>
        <w:rPr>
          <w:strike/>
          <w:sz w:val="24"/>
          <w:szCs w:val="24"/>
        </w:rPr>
      </w:pPr>
    </w:p>
    <w:p w:rsidR="0060678B" w:rsidRPr="00A17DE5" w:rsidRDefault="0060678B">
      <w:pPr>
        <w:ind w:firstLine="567"/>
        <w:jc w:val="both"/>
        <w:rPr>
          <w:strike/>
          <w:sz w:val="24"/>
          <w:szCs w:val="24"/>
        </w:rPr>
      </w:pPr>
      <w:r w:rsidRPr="00A17DE5">
        <w:rPr>
          <w:strike/>
          <w:sz w:val="24"/>
          <w:szCs w:val="24"/>
        </w:rPr>
        <w:t xml:space="preserve">§1° Os agentes regulados que, a partir de </w:t>
      </w:r>
      <w:proofErr w:type="gramStart"/>
      <w:r w:rsidRPr="00A17DE5">
        <w:rPr>
          <w:strike/>
          <w:sz w:val="24"/>
          <w:szCs w:val="24"/>
        </w:rPr>
        <w:t>01/10/2.</w:t>
      </w:r>
      <w:proofErr w:type="gramEnd"/>
      <w:r w:rsidRPr="00A17DE5">
        <w:rPr>
          <w:strike/>
          <w:sz w:val="24"/>
          <w:szCs w:val="24"/>
        </w:rPr>
        <w:t xml:space="preserve">003 optarem pelo uso de formulários eletrônicos de petição, no sistema de </w:t>
      </w:r>
      <w:proofErr w:type="spellStart"/>
      <w:r w:rsidRPr="00A17DE5">
        <w:rPr>
          <w:strike/>
          <w:sz w:val="24"/>
          <w:szCs w:val="24"/>
        </w:rPr>
        <w:t>peticionamento</w:t>
      </w:r>
      <w:proofErr w:type="spellEnd"/>
      <w:r w:rsidRPr="00A17DE5">
        <w:rPr>
          <w:strike/>
          <w:sz w:val="24"/>
          <w:szCs w:val="24"/>
        </w:rPr>
        <w:t xml:space="preserve"> eletrônico, passarão a ter prioridade de atendimento e de análise de seus processos.</w:t>
      </w:r>
    </w:p>
    <w:p w:rsidR="0060678B" w:rsidRPr="00A17DE5" w:rsidRDefault="0060678B">
      <w:pPr>
        <w:ind w:firstLine="567"/>
        <w:jc w:val="both"/>
        <w:rPr>
          <w:strike/>
          <w:sz w:val="24"/>
          <w:szCs w:val="24"/>
        </w:rPr>
      </w:pPr>
    </w:p>
    <w:p w:rsidR="0060678B" w:rsidRPr="00A17DE5" w:rsidRDefault="0060678B">
      <w:pPr>
        <w:ind w:firstLine="567"/>
        <w:jc w:val="both"/>
        <w:rPr>
          <w:strike/>
          <w:sz w:val="24"/>
          <w:szCs w:val="24"/>
        </w:rPr>
      </w:pPr>
      <w:r w:rsidRPr="00A17DE5">
        <w:rPr>
          <w:strike/>
          <w:sz w:val="24"/>
          <w:szCs w:val="24"/>
        </w:rPr>
        <w:t>§2° A autorização de que trata o caput deste artigo não contempla o recolhimento da Taxa de Fiscalização de Vigilância Sanitária, que deverá ocorrer exclusivamente por meio da GVS Eletrônica, salvo nos casos dos atos de competência de portos, aeroportos e fronteiras e nos casos de autorização, renovação, cancelamento e alteração da autorização de funcionamento dos estabelecimentos de dispensação de medicamentos: farmácias e drogarias, hipóteses em que serão admitidos os recolhimentos por meio de DARF, segundo as instruções contidas no art. 46 da RDC n.º 23, de 2003.</w:t>
      </w:r>
      <w:r w:rsidR="004B4697" w:rsidRPr="00A17DE5">
        <w:rPr>
          <w:strike/>
          <w:sz w:val="24"/>
          <w:szCs w:val="24"/>
        </w:rPr>
        <w:t xml:space="preserve"> </w:t>
      </w:r>
      <w:r w:rsidR="008331CD">
        <w:rPr>
          <w:b/>
          <w:strike/>
          <w:color w:val="0000FF"/>
          <w:sz w:val="24"/>
          <w:szCs w:val="24"/>
        </w:rPr>
        <w:t>(R</w:t>
      </w:r>
      <w:r w:rsidR="004B4697" w:rsidRPr="00A17DE5">
        <w:rPr>
          <w:b/>
          <w:strike/>
          <w:color w:val="0000FF"/>
          <w:sz w:val="24"/>
          <w:szCs w:val="24"/>
        </w:rPr>
        <w:t>evogado pela Resolução – RDC nº 166, de 1º de julho de 2004</w:t>
      </w:r>
      <w:proofErr w:type="gramStart"/>
      <w:r w:rsidR="004B4697" w:rsidRPr="00A17DE5">
        <w:rPr>
          <w:b/>
          <w:strike/>
          <w:color w:val="0000FF"/>
          <w:sz w:val="24"/>
          <w:szCs w:val="24"/>
        </w:rPr>
        <w:t>)</w:t>
      </w:r>
      <w:proofErr w:type="gramEnd"/>
    </w:p>
    <w:p w:rsidR="0060678B" w:rsidRPr="00A17DE5" w:rsidRDefault="0060678B">
      <w:pPr>
        <w:ind w:firstLine="567"/>
        <w:jc w:val="both"/>
        <w:rPr>
          <w:strike/>
          <w:sz w:val="24"/>
          <w:szCs w:val="24"/>
        </w:rPr>
      </w:pPr>
    </w:p>
    <w:p w:rsidR="0060678B" w:rsidRPr="00A17DE5" w:rsidRDefault="0060678B">
      <w:pPr>
        <w:ind w:firstLine="567"/>
        <w:jc w:val="both"/>
        <w:rPr>
          <w:strike/>
          <w:sz w:val="24"/>
          <w:szCs w:val="24"/>
        </w:rPr>
      </w:pPr>
      <w:r w:rsidRPr="00A17DE5">
        <w:rPr>
          <w:strike/>
          <w:sz w:val="24"/>
          <w:szCs w:val="24"/>
        </w:rPr>
        <w:t>Art. 2º Esta Resolução entra em vigor na data de sua publicação.</w:t>
      </w:r>
    </w:p>
    <w:p w:rsidR="0060678B" w:rsidRPr="00D760BE" w:rsidRDefault="0060678B">
      <w:pPr>
        <w:ind w:firstLine="567"/>
        <w:jc w:val="both"/>
        <w:rPr>
          <w:sz w:val="24"/>
          <w:szCs w:val="24"/>
        </w:rPr>
      </w:pPr>
    </w:p>
    <w:p w:rsidR="0034707F" w:rsidRDefault="0034707F">
      <w:pPr>
        <w:jc w:val="center"/>
        <w:rPr>
          <w:sz w:val="24"/>
          <w:szCs w:val="24"/>
        </w:rPr>
      </w:pPr>
    </w:p>
    <w:p w:rsidR="0060678B" w:rsidRPr="00D760BE" w:rsidRDefault="0060678B">
      <w:pPr>
        <w:jc w:val="center"/>
        <w:rPr>
          <w:sz w:val="24"/>
          <w:szCs w:val="24"/>
        </w:rPr>
      </w:pPr>
      <w:bookmarkStart w:id="0" w:name="_GoBack"/>
      <w:bookmarkEnd w:id="0"/>
      <w:r w:rsidRPr="00D760BE">
        <w:rPr>
          <w:sz w:val="24"/>
          <w:szCs w:val="24"/>
        </w:rPr>
        <w:t>CLAUDIO MAIEROVITCH PESSANHA HENRIQUES</w:t>
      </w:r>
    </w:p>
    <w:sectPr w:rsidR="0060678B" w:rsidRPr="00D760BE" w:rsidSect="0034707F">
      <w:headerReference w:type="default" r:id="rId7"/>
      <w:footerReference w:type="default" r:id="rId8"/>
      <w:pgSz w:w="11907" w:h="16840" w:code="9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07F" w:rsidRDefault="0034707F" w:rsidP="0034707F">
      <w:r>
        <w:separator/>
      </w:r>
    </w:p>
  </w:endnote>
  <w:endnote w:type="continuationSeparator" w:id="0">
    <w:p w:rsidR="0034707F" w:rsidRDefault="0034707F" w:rsidP="00347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07F" w:rsidRPr="0034707F" w:rsidRDefault="0034707F" w:rsidP="0034707F">
    <w:pPr>
      <w:tabs>
        <w:tab w:val="center" w:pos="4252"/>
        <w:tab w:val="right" w:pos="8504"/>
      </w:tabs>
      <w:jc w:val="center"/>
      <w:rPr>
        <w:rFonts w:ascii="Calibri" w:eastAsia="Calibri" w:hAnsi="Calibri"/>
        <w:sz w:val="22"/>
        <w:szCs w:val="22"/>
        <w:lang w:eastAsia="en-US"/>
      </w:rPr>
    </w:pPr>
    <w:r w:rsidRPr="0034707F">
      <w:rPr>
        <w:rFonts w:ascii="Calibri" w:eastAsia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34707F" w:rsidRDefault="0034707F">
    <w:pPr>
      <w:pStyle w:val="Rodap"/>
    </w:pPr>
  </w:p>
  <w:p w:rsidR="0034707F" w:rsidRDefault="0034707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07F" w:rsidRDefault="0034707F" w:rsidP="0034707F">
      <w:r>
        <w:separator/>
      </w:r>
    </w:p>
  </w:footnote>
  <w:footnote w:type="continuationSeparator" w:id="0">
    <w:p w:rsidR="0034707F" w:rsidRDefault="0034707F" w:rsidP="003470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07F" w:rsidRDefault="0034707F">
    <w:pPr>
      <w:pStyle w:val="Cabealho"/>
    </w:pPr>
  </w:p>
  <w:p w:rsidR="0034707F" w:rsidRPr="0034707F" w:rsidRDefault="0034707F" w:rsidP="0034707F">
    <w:pPr>
      <w:tabs>
        <w:tab w:val="center" w:pos="4252"/>
        <w:tab w:val="right" w:pos="8504"/>
      </w:tabs>
      <w:jc w:val="center"/>
      <w:rPr>
        <w:rFonts w:ascii="Calibri" w:eastAsia="Calibri" w:hAnsi="Calibri"/>
        <w:sz w:val="22"/>
        <w:szCs w:val="22"/>
        <w:lang w:eastAsia="en-US"/>
      </w:rPr>
    </w:pPr>
    <w:r w:rsidRPr="0034707F">
      <w:rPr>
        <w:rFonts w:ascii="Calibri" w:eastAsia="Calibri" w:hAnsi="Calibri"/>
        <w:noProof/>
        <w:sz w:val="22"/>
        <w:szCs w:val="22"/>
      </w:rPr>
      <w:drawing>
        <wp:inline distT="0" distB="0" distL="0" distR="0" wp14:anchorId="76A905C5" wp14:editId="4D4F5E69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4707F" w:rsidRPr="0034707F" w:rsidRDefault="0034707F" w:rsidP="0034707F">
    <w:pPr>
      <w:tabs>
        <w:tab w:val="center" w:pos="4252"/>
        <w:tab w:val="right" w:pos="8504"/>
      </w:tabs>
      <w:jc w:val="center"/>
      <w:rPr>
        <w:rFonts w:ascii="Calibri" w:eastAsia="Calibri" w:hAnsi="Calibri"/>
        <w:b/>
        <w:sz w:val="24"/>
        <w:szCs w:val="22"/>
        <w:lang w:eastAsia="en-US"/>
      </w:rPr>
    </w:pPr>
    <w:r w:rsidRPr="0034707F">
      <w:rPr>
        <w:rFonts w:ascii="Calibri" w:eastAsia="Calibri" w:hAnsi="Calibri"/>
        <w:b/>
        <w:sz w:val="24"/>
        <w:szCs w:val="22"/>
        <w:lang w:eastAsia="en-US"/>
      </w:rPr>
      <w:t>Ministério da Saúde - MS</w:t>
    </w:r>
  </w:p>
  <w:p w:rsidR="0034707F" w:rsidRPr="0034707F" w:rsidRDefault="0034707F" w:rsidP="0034707F">
    <w:pPr>
      <w:tabs>
        <w:tab w:val="center" w:pos="4252"/>
        <w:tab w:val="right" w:pos="8504"/>
      </w:tabs>
      <w:jc w:val="center"/>
      <w:rPr>
        <w:rFonts w:ascii="Calibri" w:eastAsia="Calibri" w:hAnsi="Calibri"/>
        <w:b/>
        <w:sz w:val="24"/>
        <w:szCs w:val="22"/>
        <w:lang w:eastAsia="en-US"/>
      </w:rPr>
    </w:pPr>
    <w:r w:rsidRPr="0034707F">
      <w:rPr>
        <w:rFonts w:ascii="Calibri" w:eastAsia="Calibri" w:hAnsi="Calibri"/>
        <w:b/>
        <w:sz w:val="24"/>
        <w:szCs w:val="22"/>
        <w:lang w:eastAsia="en-US"/>
      </w:rPr>
      <w:t>Agência Nacional de Vigilância Sanitária - ANVISA</w:t>
    </w:r>
  </w:p>
  <w:p w:rsidR="0034707F" w:rsidRDefault="0034707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0"/>
  <w:doNotHyphenateCaps/>
  <w:drawingGridHorizontalSpacing w:val="120"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678B"/>
    <w:rsid w:val="00035C10"/>
    <w:rsid w:val="002741C2"/>
    <w:rsid w:val="002D02AD"/>
    <w:rsid w:val="0034707F"/>
    <w:rsid w:val="004B4697"/>
    <w:rsid w:val="0060678B"/>
    <w:rsid w:val="00666CDA"/>
    <w:rsid w:val="007838D5"/>
    <w:rsid w:val="008331CD"/>
    <w:rsid w:val="0098148C"/>
    <w:rsid w:val="00A17DE5"/>
    <w:rsid w:val="00AC26C4"/>
    <w:rsid w:val="00D760BE"/>
    <w:rsid w:val="00F17584"/>
    <w:rsid w:val="00F3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8D5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7838D5"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rsid w:val="007838D5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7838D5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4707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4707F"/>
    <w:rPr>
      <w:rFonts w:ascii="Times New Roman" w:hAnsi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34707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4707F"/>
    <w:rPr>
      <w:rFonts w:ascii="Times New Roman" w:hAnsi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707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70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865E2A-BACA-4516-AF43-CFE00E207FB3}"/>
</file>

<file path=customXml/itemProps2.xml><?xml version="1.0" encoding="utf-8"?>
<ds:datastoreItem xmlns:ds="http://schemas.openxmlformats.org/officeDocument/2006/customXml" ds:itemID="{61365BB8-3B6C-4705-8AC4-0EF5F49A5473}"/>
</file>

<file path=customXml/itemProps3.xml><?xml version="1.0" encoding="utf-8"?>
<ds:datastoreItem xmlns:ds="http://schemas.openxmlformats.org/officeDocument/2006/customXml" ds:itemID="{2680B039-2187-4D79-B148-7A4894DFE8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Resolução - RDC nº 76, de 09 de abril de 2003</vt:lpstr>
    </vt:vector>
  </TitlesOfParts>
  <Company>anvs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- RDC nº 76, de 09 de abril de 2003</dc:title>
  <dc:creator>Marcio.Lisboa</dc:creator>
  <cp:lastModifiedBy>Raianne Liberal Coutinho</cp:lastModifiedBy>
  <cp:revision>15</cp:revision>
  <cp:lastPrinted>2016-07-26T18:03:00Z</cp:lastPrinted>
  <dcterms:created xsi:type="dcterms:W3CDTF">2015-08-31T19:27:00Z</dcterms:created>
  <dcterms:modified xsi:type="dcterms:W3CDTF">2016-07-26T18:03:00Z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