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35D" w:rsidRDefault="0040235D" w:rsidP="00FE2AE7">
      <w:pPr>
        <w:pStyle w:val="Ttulo1"/>
        <w:spacing w:before="0" w:beforeAutospacing="0" w:after="200" w:afterAutospacing="0"/>
        <w:ind w:left="-567" w:right="-568"/>
        <w:divId w:val="29487239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E2AE7">
        <w:rPr>
          <w:rFonts w:ascii="Times New Roman" w:hAnsi="Times New Roman" w:cs="Times New Roman"/>
          <w:sz w:val="24"/>
          <w:szCs w:val="24"/>
        </w:rPr>
        <w:t>RESOLUÇÃO DE DIRETORIA COLEGIADA – RDC Nº</w:t>
      </w:r>
      <w:r w:rsidR="00FE2AE7">
        <w:rPr>
          <w:rFonts w:ascii="Times New Roman" w:hAnsi="Times New Roman" w:cs="Times New Roman"/>
          <w:sz w:val="24"/>
          <w:szCs w:val="24"/>
        </w:rPr>
        <w:t xml:space="preserve"> </w:t>
      </w:r>
      <w:r w:rsidRPr="00FE2AE7">
        <w:rPr>
          <w:rFonts w:ascii="Times New Roman" w:hAnsi="Times New Roman" w:cs="Times New Roman"/>
          <w:sz w:val="24"/>
          <w:szCs w:val="24"/>
        </w:rPr>
        <w:t>27, DE 26 DE MAIO DE 2009</w:t>
      </w:r>
    </w:p>
    <w:p w:rsidR="00FE2AE7" w:rsidRPr="00FE2AE7" w:rsidRDefault="00FE2AE7" w:rsidP="00FE2AE7">
      <w:pPr>
        <w:pStyle w:val="Ttulo1"/>
        <w:spacing w:before="0" w:beforeAutospacing="0" w:after="200" w:afterAutospacing="0"/>
        <w:ind w:left="-567" w:right="-568"/>
        <w:divId w:val="294872390"/>
        <w:rPr>
          <w:rFonts w:ascii="Times New Roman" w:hAnsi="Times New Roman" w:cs="Times New Roman"/>
          <w:color w:val="0000FF"/>
          <w:sz w:val="24"/>
          <w:szCs w:val="24"/>
        </w:rPr>
      </w:pPr>
      <w:r w:rsidRPr="00FE2AE7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99, de 27 de maio de 2009)</w:t>
      </w:r>
    </w:p>
    <w:p w:rsidR="0040235D" w:rsidRPr="00FE2AE7" w:rsidRDefault="0040235D" w:rsidP="00FE2AE7">
      <w:pPr>
        <w:spacing w:before="0" w:beforeAutospacing="0" w:after="200" w:afterAutospacing="0"/>
        <w:ind w:firstLine="567"/>
        <w:jc w:val="both"/>
        <w:divId w:val="294872390"/>
      </w:pPr>
      <w:r w:rsidRPr="00FE2AE7">
        <w:rPr>
          <w:b/>
          <w:bCs/>
          <w:color w:val="000000"/>
        </w:rPr>
        <w:t>A Diretoria Colegiada da Agência Nacional de Vigilância Sanitária</w:t>
      </w:r>
      <w:r w:rsidRPr="00FE2AE7">
        <w:rPr>
          <w:color w:val="00000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19 de maio de 2009, e</w:t>
      </w:r>
    </w:p>
    <w:p w:rsidR="0040235D" w:rsidRPr="00FE2AE7" w:rsidRDefault="0040235D" w:rsidP="00FE2AE7">
      <w:pPr>
        <w:spacing w:before="0" w:beforeAutospacing="0" w:after="200" w:afterAutospacing="0"/>
        <w:ind w:firstLine="567"/>
        <w:jc w:val="both"/>
        <w:divId w:val="294872390"/>
      </w:pPr>
      <w:r w:rsidRPr="00FE2AE7">
        <w:t>considerando a necessidade de constante aperfeiçoamento das ações de controle sanitário na área de alimentos, visando à proteção da saúde da população;</w:t>
      </w:r>
    </w:p>
    <w:p w:rsidR="0040235D" w:rsidRPr="00FE2AE7" w:rsidRDefault="0040235D" w:rsidP="00FE2AE7">
      <w:pPr>
        <w:spacing w:before="0" w:beforeAutospacing="0" w:after="200" w:afterAutospacing="0"/>
        <w:ind w:firstLine="567"/>
        <w:jc w:val="both"/>
        <w:divId w:val="294872390"/>
      </w:pPr>
      <w:r w:rsidRPr="00FE2AE7">
        <w:t>considerando a necessidade de segurança de uso de aditivos alimentares e coadjuvantes de tecnologia na fabricação de alimentos;</w:t>
      </w:r>
    </w:p>
    <w:p w:rsidR="0040235D" w:rsidRPr="00FE2AE7" w:rsidRDefault="0040235D" w:rsidP="00FE2AE7">
      <w:pPr>
        <w:spacing w:before="0" w:beforeAutospacing="0" w:after="200" w:afterAutospacing="0"/>
        <w:ind w:firstLine="567"/>
        <w:jc w:val="both"/>
        <w:divId w:val="294872390"/>
      </w:pPr>
      <w:r w:rsidRPr="00FE2AE7">
        <w:t>considerando que o uso dos aditivos deve ser limitado a alimentos específicos, em condições específicas e ao menor nível para alcançar o efeito desejado;</w:t>
      </w:r>
    </w:p>
    <w:p w:rsidR="0040235D" w:rsidRPr="00FE2AE7" w:rsidRDefault="0040235D" w:rsidP="00FE2AE7">
      <w:pPr>
        <w:spacing w:before="0" w:beforeAutospacing="0" w:after="200" w:afterAutospacing="0"/>
        <w:ind w:firstLine="567"/>
        <w:jc w:val="both"/>
        <w:divId w:val="294872390"/>
      </w:pPr>
      <w:r w:rsidRPr="00FE2AE7">
        <w:t>considerando que cera de carnaúba consta do Inventário de Substâncias Utilizadas como Coadjuvantes de Tecnologia – IPA, elaborado pelo Comitê Codex Alimentarius de Aditivos Alimentares – CCFA;</w:t>
      </w:r>
    </w:p>
    <w:p w:rsidR="0040235D" w:rsidRPr="00FE2AE7" w:rsidRDefault="0040235D" w:rsidP="00C57CFC">
      <w:pPr>
        <w:pStyle w:val="Corpodetexto2"/>
        <w:spacing w:before="0" w:beforeAutospacing="0" w:after="200" w:afterAutospacing="0" w:line="240" w:lineRule="auto"/>
        <w:ind w:firstLine="558"/>
        <w:jc w:val="both"/>
        <w:divId w:val="294872390"/>
      </w:pPr>
      <w:r w:rsidRPr="00FE2AE7">
        <w:t>considerando que este Regulamento Técnico foi submetido ao processo de Consulta Pública nº. 51, publicada no D.O.U. em 10 de setembro de 2008,</w:t>
      </w:r>
    </w:p>
    <w:p w:rsidR="0040235D" w:rsidRPr="00FE2AE7" w:rsidRDefault="0040235D" w:rsidP="00FE2AE7">
      <w:pPr>
        <w:spacing w:before="0" w:beforeAutospacing="0" w:after="200" w:afterAutospacing="0"/>
        <w:ind w:firstLine="567"/>
        <w:jc w:val="both"/>
        <w:divId w:val="294872390"/>
      </w:pPr>
      <w:r w:rsidRPr="00FE2AE7">
        <w:rPr>
          <w:color w:val="000000"/>
        </w:rPr>
        <w:t>adota a seguinte Resolução da Diretoria Colegiada e eu, Diretor-Presidente, determino a sua publicação:</w:t>
      </w:r>
    </w:p>
    <w:p w:rsidR="0040235D" w:rsidRPr="00FE2AE7" w:rsidRDefault="0040235D" w:rsidP="00FE2AE7">
      <w:pPr>
        <w:spacing w:before="0" w:beforeAutospacing="0" w:after="200" w:afterAutospacing="0"/>
        <w:ind w:firstLine="567"/>
        <w:jc w:val="both"/>
        <w:divId w:val="294872390"/>
      </w:pPr>
      <w:r w:rsidRPr="00FE2AE7">
        <w:t>Art. 1º Aprovar a extensão do uso de cera de carnaúba como coadjuvante de tecnologia com a função de lubrificante, agente de moldagem ou desmoldagem, para as seguintes subcategorias de alimentos: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4"/>
      </w:tblGrid>
      <w:tr w:rsidR="0040235D" w:rsidRPr="00FE2AE7" w:rsidTr="0040235D">
        <w:trPr>
          <w:divId w:val="294872390"/>
          <w:jc w:val="center"/>
        </w:trPr>
        <w:tc>
          <w:tcPr>
            <w:tcW w:w="6804" w:type="dxa"/>
          </w:tcPr>
          <w:p w:rsidR="0040235D" w:rsidRPr="00FE2AE7" w:rsidRDefault="0040235D" w:rsidP="00FE2AE7">
            <w:pPr>
              <w:spacing w:before="0" w:beforeAutospacing="0" w:after="200" w:afterAutospacing="0"/>
            </w:pPr>
            <w:r w:rsidRPr="00FE2AE7">
              <w:t>7.1 Pães prontos para o consumo</w:t>
            </w:r>
          </w:p>
          <w:p w:rsidR="0040235D" w:rsidRPr="00FE2AE7" w:rsidRDefault="0040235D" w:rsidP="00FE2AE7">
            <w:pPr>
              <w:spacing w:before="0" w:beforeAutospacing="0" w:after="200" w:afterAutospacing="0"/>
            </w:pPr>
            <w:r w:rsidRPr="00FE2AE7">
              <w:t>7.1.1 Pães com fermento biológico</w:t>
            </w:r>
          </w:p>
          <w:p w:rsidR="0040235D" w:rsidRPr="00FE2AE7" w:rsidRDefault="0040235D" w:rsidP="00FE2AE7">
            <w:pPr>
              <w:spacing w:before="0" w:beforeAutospacing="0" w:after="200" w:afterAutospacing="0"/>
            </w:pPr>
            <w:r w:rsidRPr="00FE2AE7">
              <w:t>7.1.2 Pães com fermento químico</w:t>
            </w:r>
          </w:p>
        </w:tc>
      </w:tr>
      <w:tr w:rsidR="0040235D" w:rsidRPr="00FE2AE7" w:rsidTr="0040235D">
        <w:trPr>
          <w:divId w:val="294872390"/>
          <w:jc w:val="center"/>
        </w:trPr>
        <w:tc>
          <w:tcPr>
            <w:tcW w:w="6804" w:type="dxa"/>
          </w:tcPr>
          <w:p w:rsidR="0040235D" w:rsidRPr="00FE2AE7" w:rsidRDefault="0040235D" w:rsidP="00FE2AE7">
            <w:pPr>
              <w:spacing w:before="0" w:beforeAutospacing="0" w:after="200" w:afterAutospacing="0"/>
            </w:pPr>
            <w:r w:rsidRPr="00FE2AE7">
              <w:t>7.2 Biscoitos e similares</w:t>
            </w:r>
          </w:p>
          <w:p w:rsidR="0040235D" w:rsidRPr="00FE2AE7" w:rsidRDefault="0040235D" w:rsidP="00FE2AE7">
            <w:pPr>
              <w:spacing w:before="0" w:beforeAutospacing="0" w:after="200" w:afterAutospacing="0"/>
            </w:pPr>
            <w:r w:rsidRPr="00FE2AE7">
              <w:t>7.2.1 Biscoitos e similares com ou sem recheio, com ou sem cobertura</w:t>
            </w:r>
          </w:p>
        </w:tc>
      </w:tr>
      <w:tr w:rsidR="0040235D" w:rsidRPr="00FE2AE7" w:rsidTr="00FE2AE7">
        <w:trPr>
          <w:divId w:val="294872390"/>
          <w:trHeight w:val="514"/>
          <w:jc w:val="center"/>
        </w:trPr>
        <w:tc>
          <w:tcPr>
            <w:tcW w:w="6804" w:type="dxa"/>
          </w:tcPr>
          <w:p w:rsidR="0040235D" w:rsidRPr="00FE2AE7" w:rsidRDefault="0040235D" w:rsidP="00FE2AE7">
            <w:pPr>
              <w:spacing w:before="0" w:beforeAutospacing="0" w:after="200" w:afterAutospacing="0"/>
            </w:pPr>
            <w:r w:rsidRPr="00FE2AE7">
              <w:t>7.3 Produtos de confeitaria</w:t>
            </w:r>
          </w:p>
          <w:p w:rsidR="0040235D" w:rsidRPr="00FE2AE7" w:rsidRDefault="0040235D" w:rsidP="00FE2AE7">
            <w:pPr>
              <w:spacing w:before="0" w:beforeAutospacing="0" w:after="200" w:afterAutospacing="0"/>
            </w:pPr>
            <w:r w:rsidRPr="00FE2AE7">
              <w:t xml:space="preserve">7.3.1 Bolos, tortas, doces e massas de confeitaria, com fermento biológico ou fermentação natural, com ou sem recheio, com ou sem </w:t>
            </w:r>
            <w:r w:rsidRPr="00FE2AE7">
              <w:lastRenderedPageBreak/>
              <w:t xml:space="preserve">cobertura, prontos para o consumo ou semiprontos (inclui panetone </w:t>
            </w:r>
          </w:p>
        </w:tc>
      </w:tr>
      <w:tr w:rsidR="0040235D" w:rsidRPr="00FE2AE7" w:rsidTr="00FE2AE7">
        <w:trPr>
          <w:divId w:val="294872390"/>
          <w:trHeight w:val="617"/>
          <w:jc w:val="center"/>
        </w:trPr>
        <w:tc>
          <w:tcPr>
            <w:tcW w:w="6804" w:type="dxa"/>
          </w:tcPr>
          <w:p w:rsidR="0040235D" w:rsidRPr="00FE2AE7" w:rsidRDefault="0040235D" w:rsidP="00FE2AE7">
            <w:pPr>
              <w:spacing w:before="0" w:beforeAutospacing="0" w:after="200" w:afterAutospacing="0"/>
            </w:pPr>
            <w:r w:rsidRPr="00FE2AE7">
              <w:lastRenderedPageBreak/>
              <w:t>e pan dulce)</w:t>
            </w:r>
          </w:p>
          <w:p w:rsidR="0040235D" w:rsidRPr="00FE2AE7" w:rsidRDefault="0040235D" w:rsidP="00FE2AE7">
            <w:pPr>
              <w:spacing w:before="0" w:beforeAutospacing="0" w:after="200" w:afterAutospacing="0"/>
            </w:pPr>
            <w:r w:rsidRPr="00FE2AE7">
              <w:t>7.3.2 Bolos, tortas, doces e massas de confeitaria, com fermento químico, com ou sem recheio, com ou sem cobertura, prontos para o consumo ou semiprontos</w:t>
            </w:r>
          </w:p>
        </w:tc>
      </w:tr>
    </w:tbl>
    <w:p w:rsidR="00FE2AE7" w:rsidRDefault="00FE2AE7" w:rsidP="00FE2AE7">
      <w:pPr>
        <w:spacing w:before="0" w:beforeAutospacing="0" w:after="200" w:afterAutospacing="0"/>
        <w:ind w:firstLine="567"/>
        <w:divId w:val="294872390"/>
      </w:pPr>
    </w:p>
    <w:p w:rsidR="0040235D" w:rsidRPr="00FE2AE7" w:rsidRDefault="0040235D" w:rsidP="00FE2AE7">
      <w:pPr>
        <w:spacing w:before="0" w:beforeAutospacing="0" w:after="200" w:afterAutospacing="0"/>
        <w:ind w:firstLine="567"/>
        <w:jc w:val="both"/>
        <w:divId w:val="294872390"/>
      </w:pPr>
      <w:r w:rsidRPr="00FE2AE7">
        <w:t>Art. 2º O descumprimento aos termos desta Resolução constitui infração sanitária, sujeitando os infratores às penalidades previstas na Lei nº. 6.437, de 20 de agosto de 1977 e demais disposições aplicáveis.</w:t>
      </w:r>
    </w:p>
    <w:p w:rsidR="0040235D" w:rsidRPr="00FE2AE7" w:rsidRDefault="0040235D" w:rsidP="00FE2AE7">
      <w:pPr>
        <w:spacing w:before="0" w:beforeAutospacing="0" w:after="200" w:afterAutospacing="0"/>
        <w:ind w:firstLine="567"/>
        <w:divId w:val="294872390"/>
      </w:pPr>
      <w:r w:rsidRPr="00FE2AE7">
        <w:t>Art. 3º Esta Resolução entra em vigor na data de sua publicação.</w:t>
      </w:r>
    </w:p>
    <w:p w:rsidR="00FE2AE7" w:rsidRDefault="00FE2AE7" w:rsidP="00FE2AE7">
      <w:pPr>
        <w:pStyle w:val="Ttulo2"/>
        <w:spacing w:before="0" w:beforeAutospacing="0" w:after="300" w:afterAutospacing="0"/>
        <w:divId w:val="294872390"/>
        <w:rPr>
          <w:rFonts w:ascii="Times New Roman" w:hAnsi="Times New Roman" w:cs="Times New Roman"/>
          <w:sz w:val="24"/>
          <w:szCs w:val="24"/>
        </w:rPr>
      </w:pPr>
    </w:p>
    <w:p w:rsidR="00A53197" w:rsidRPr="00FE2AE7" w:rsidRDefault="0040235D" w:rsidP="00FE2AE7">
      <w:pPr>
        <w:pStyle w:val="Ttulo2"/>
        <w:spacing w:before="0" w:beforeAutospacing="0" w:after="300" w:afterAutospacing="0"/>
        <w:divId w:val="294872390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FE2AE7">
        <w:rPr>
          <w:rFonts w:ascii="Times New Roman" w:hAnsi="Times New Roman" w:cs="Times New Roman"/>
          <w:b w:val="0"/>
          <w:sz w:val="24"/>
          <w:szCs w:val="24"/>
        </w:rPr>
        <w:t>DIRCEU RAPOSO DE MELLO</w:t>
      </w:r>
      <w:r w:rsidR="00A53197" w:rsidRPr="00FE2AE7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FE2AE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B55" w:rsidRDefault="002B2B55" w:rsidP="00FE2AE7">
      <w:pPr>
        <w:spacing w:before="0" w:after="0"/>
      </w:pPr>
      <w:r>
        <w:separator/>
      </w:r>
    </w:p>
  </w:endnote>
  <w:endnote w:type="continuationSeparator" w:id="0">
    <w:p w:rsidR="002B2B55" w:rsidRDefault="002B2B55" w:rsidP="00FE2A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AE7" w:rsidRPr="00FE2AE7" w:rsidRDefault="00FE2AE7" w:rsidP="00FE2AE7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B55" w:rsidRDefault="002B2B55" w:rsidP="00FE2AE7">
      <w:pPr>
        <w:spacing w:before="0" w:after="0"/>
      </w:pPr>
      <w:r>
        <w:separator/>
      </w:r>
    </w:p>
  </w:footnote>
  <w:footnote w:type="continuationSeparator" w:id="0">
    <w:p w:rsidR="002B2B55" w:rsidRDefault="002B2B55" w:rsidP="00FE2AE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AE7" w:rsidRPr="0018049F" w:rsidRDefault="002B2B55" w:rsidP="00FE2AE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2B2B55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E2AE7" w:rsidRPr="0018049F" w:rsidRDefault="00FE2AE7" w:rsidP="00FE2AE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FE2AE7" w:rsidRDefault="00FE2AE7" w:rsidP="00FE2AE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FE2AE7" w:rsidRPr="00FE2AE7" w:rsidRDefault="00FE2AE7" w:rsidP="00FE2AE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1B3580"/>
    <w:rsid w:val="002A6BAF"/>
    <w:rsid w:val="002B2B55"/>
    <w:rsid w:val="0040235D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C57CFC"/>
    <w:rsid w:val="00C95A0B"/>
    <w:rsid w:val="00DF7C19"/>
    <w:rsid w:val="00E0472A"/>
    <w:rsid w:val="00E30878"/>
    <w:rsid w:val="00FA14E7"/>
    <w:rsid w:val="00FE2AE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235D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40235D"/>
    <w:rPr>
      <w:rFonts w:asciiTheme="majorHAnsi" w:eastAsiaTheme="majorEastAsia" w:hAnsiTheme="majorHAnsi" w:cs="Times New Roman"/>
      <w:b/>
      <w:bCs/>
      <w:color w:val="4F81BD" w:themeColor="accent1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0235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40235D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FE2AE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E2AE7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FE2AE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FE2AE7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E2AE7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7239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239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9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2141</Characters>
  <Application>Microsoft Office Word</Application>
  <DocSecurity>0</DocSecurity>
  <Lines>17</Lines>
  <Paragraphs>5</Paragraphs>
  <ScaleCrop>false</ScaleCrop>
  <Company>ANVISA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2018-04-05T21:58:00Z</cp:lastPrinted>
  <dcterms:created xsi:type="dcterms:W3CDTF">2018-08-16T18:34:00Z</dcterms:created>
  <dcterms:modified xsi:type="dcterms:W3CDTF">2018-08-16T18:34:00Z</dcterms:modified>
</cp:coreProperties>
</file>