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241" w:rsidRPr="00F75D18" w:rsidRDefault="00187241" w:rsidP="00187241">
      <w:pPr>
        <w:spacing w:after="0" w:line="240" w:lineRule="auto"/>
        <w:jc w:val="both"/>
        <w:outlineLvl w:val="0"/>
        <w:rPr>
          <w:rFonts w:ascii="Times New Roman" w:eastAsia="Times New Roman" w:hAnsi="Times New Roman"/>
          <w:b/>
          <w:bCs/>
          <w:color w:val="000000"/>
          <w:kern w:val="36"/>
          <w:sz w:val="24"/>
          <w:szCs w:val="24"/>
          <w:lang w:eastAsia="pt-BR"/>
        </w:rPr>
      </w:pPr>
      <w:bookmarkStart w:id="0" w:name="_GoBack"/>
      <w:bookmarkEnd w:id="0"/>
      <w:r w:rsidRPr="00F75D18">
        <w:rPr>
          <w:rFonts w:ascii="Times New Roman" w:eastAsia="Times New Roman" w:hAnsi="Times New Roman"/>
          <w:b/>
          <w:bCs/>
          <w:color w:val="000000"/>
          <w:kern w:val="36"/>
          <w:sz w:val="24"/>
          <w:szCs w:val="24"/>
          <w:lang w:eastAsia="pt-BR"/>
        </w:rPr>
        <w:t>RESOLUÇÃO DA DIRETORIA COLEGIADA - RDC Nº 281, DE 22 DE SETEMBRO DE 2005</w:t>
      </w:r>
    </w:p>
    <w:p w:rsidR="00187241" w:rsidRPr="008B0ECE" w:rsidRDefault="00187241" w:rsidP="00187241">
      <w:pPr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iCs/>
          <w:color w:val="0000FF"/>
          <w:sz w:val="24"/>
          <w:szCs w:val="24"/>
          <w:lang w:eastAsia="pt-BR"/>
        </w:rPr>
      </w:pPr>
    </w:p>
    <w:p w:rsidR="00187241" w:rsidRPr="008B0ECE" w:rsidRDefault="00187241" w:rsidP="00187241">
      <w:pPr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iCs/>
          <w:color w:val="0000FF"/>
          <w:sz w:val="24"/>
          <w:szCs w:val="24"/>
          <w:lang w:eastAsia="pt-BR"/>
        </w:rPr>
      </w:pPr>
      <w:r w:rsidRPr="008B0ECE">
        <w:rPr>
          <w:rFonts w:ascii="Times New Roman" w:eastAsia="Times New Roman" w:hAnsi="Times New Roman"/>
          <w:b/>
          <w:iCs/>
          <w:color w:val="0000FF"/>
          <w:sz w:val="24"/>
          <w:szCs w:val="24"/>
          <w:lang w:eastAsia="pt-BR"/>
        </w:rPr>
        <w:t>(Publicada no DOU nº 186, de 27 de setembro de 2005)</w:t>
      </w:r>
    </w:p>
    <w:p w:rsidR="008B0ECE" w:rsidRPr="008B0ECE" w:rsidRDefault="008B0ECE" w:rsidP="00187241">
      <w:pPr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iCs/>
          <w:color w:val="0000FF"/>
          <w:sz w:val="24"/>
          <w:szCs w:val="24"/>
          <w:lang w:eastAsia="pt-BR"/>
        </w:rPr>
      </w:pPr>
    </w:p>
    <w:p w:rsidR="008B0ECE" w:rsidRPr="008B0ECE" w:rsidRDefault="008B0ECE" w:rsidP="00187241">
      <w:pPr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iCs/>
          <w:color w:val="0000FF"/>
          <w:sz w:val="24"/>
          <w:szCs w:val="24"/>
          <w:lang w:eastAsia="pt-BR"/>
        </w:rPr>
      </w:pPr>
      <w:r w:rsidRPr="008B0ECE">
        <w:rPr>
          <w:rFonts w:ascii="Times New Roman" w:eastAsia="Times New Roman" w:hAnsi="Times New Roman"/>
          <w:b/>
          <w:iCs/>
          <w:color w:val="0000FF"/>
          <w:sz w:val="24"/>
          <w:szCs w:val="24"/>
          <w:lang w:eastAsia="pt-BR"/>
        </w:rPr>
        <w:t>(Revogada pela Resolução – RDC nº 63, de 28 de dezembro de 2012)</w:t>
      </w:r>
    </w:p>
    <w:p w:rsidR="00187241" w:rsidRPr="008B0ECE" w:rsidRDefault="00187241" w:rsidP="00187241">
      <w:pPr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iCs/>
          <w:strike/>
          <w:color w:val="0000FF"/>
          <w:sz w:val="24"/>
          <w:szCs w:val="24"/>
          <w:lang w:eastAsia="pt-BR"/>
        </w:rPr>
      </w:pPr>
    </w:p>
    <w:p w:rsidR="00187241" w:rsidRPr="008B0ECE" w:rsidRDefault="00187241" w:rsidP="00187241">
      <w:pPr>
        <w:spacing w:before="150" w:after="150"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A Diretoria Colegiada da Agência Nacional de Vigilância Sanitária, no uso da atribuição que lhe confere o art. 8º, inciso IV e o art. 111, inciso I, alínea "b" e o § 2º deste artigo, do Regimento Interno aprovado pela Portaria da Anvisa nº 593, de 25 de agosto de 2000, em reunião realizada em 20 de setembro de 2005;</w:t>
      </w:r>
    </w:p>
    <w:p w:rsidR="00187241" w:rsidRPr="008B0ECE" w:rsidRDefault="00187241" w:rsidP="00187241">
      <w:pPr>
        <w:spacing w:before="150" w:after="150"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considerando a competência da Agência Nacional de Vigilância Sanitária decorrente da seguinte legislação: Lei n° 6.360/76, Decreto nº 79.094/77, Lei n° 8.080/90, Lei nº 9.782/99, Lei nº 9.787/99, Decreto nº 3.029/99, Decreto n° 3.181/99 e a Instrução Normativa da Secretaria de Vigilância Sanitária do Ministério da Saúde nº 1, de 30 de setembro de 1994;</w:t>
      </w:r>
    </w:p>
    <w:p w:rsidR="00187241" w:rsidRPr="008B0ECE" w:rsidRDefault="00187241" w:rsidP="00187241">
      <w:pPr>
        <w:spacing w:before="150" w:after="150"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considerando as recomendações da Organização Mundial da Saúde (OMS), aos seus países membros, sobre a importância das denominações comuns para as substâncias farmacêuticas;</w:t>
      </w:r>
    </w:p>
    <w:p w:rsidR="00187241" w:rsidRPr="008B0ECE" w:rsidRDefault="00187241" w:rsidP="00187241">
      <w:pPr>
        <w:spacing w:before="150" w:after="150"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considerando as regras de nomenclatura e de tradução para fármacos ou medicamentos, elaboradas pela Subcomissão de Denominações Comuns Brasileiras (SDCB), da Comissão Permanente de Revisão da </w:t>
      </w:r>
      <w:proofErr w:type="spellStart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Farmacopéia</w:t>
      </w:r>
      <w:proofErr w:type="spellEnd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 Brasileira (CPRFB), constantes da Resolução Anvisa RDC nº 276, de 21 de outubro de 2002 (DOU 12/11/2002) e RDC n° 125 de 13 de maio de 2005;</w:t>
      </w:r>
    </w:p>
    <w:p w:rsidR="00187241" w:rsidRPr="008B0ECE" w:rsidRDefault="00187241" w:rsidP="00187241">
      <w:pPr>
        <w:spacing w:before="150" w:after="150"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considerando a necessidade de revisar e atualizar as Denominações Comuns Brasileiras (DCB) publicadas pela Resolução Anvisa RDC nº 111, de 29 de abril de 2005 (DOU 16/06/2005);</w:t>
      </w:r>
    </w:p>
    <w:p w:rsidR="00187241" w:rsidRPr="008B0ECE" w:rsidRDefault="00187241" w:rsidP="00187241">
      <w:pPr>
        <w:spacing w:before="150" w:after="150"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considerando o parecer emitido pela SDCB, da CPRFB, em cumprimento do seu dever de, periodicamente, revisar e atualizar as DCB para substâncias farmacêuticas;</w:t>
      </w:r>
    </w:p>
    <w:p w:rsidR="00187241" w:rsidRPr="008B0ECE" w:rsidRDefault="00187241" w:rsidP="00187241">
      <w:pPr>
        <w:spacing w:before="150" w:after="150"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adotou a seguinte Resolução da Diretoria Colegiada e eu, Diretor-Presidente, determino sua publicação:</w:t>
      </w:r>
    </w:p>
    <w:p w:rsidR="00187241" w:rsidRPr="008B0ECE" w:rsidRDefault="00187241" w:rsidP="00187241">
      <w:pPr>
        <w:spacing w:before="150" w:after="150"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Art. 1º Aprovar, na forma dos Anexos 1, 2, 3, 4 e 5 as inclusões, alterações, exclusões, correções do número atribuído pelo </w:t>
      </w:r>
      <w:proofErr w:type="spellStart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Chemical</w:t>
      </w:r>
      <w:proofErr w:type="spellEnd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 Abstracts Service (CAS) e inclusão do número CAS ou referência bibliográfica, respectivamente, das Denominações Comuns Brasileiras (DCB) 2004, concedendo às empresas o prazo de 360 dias para adequações referentes a esta resolução.</w:t>
      </w:r>
    </w:p>
    <w:p w:rsidR="00187241" w:rsidRPr="008B0ECE" w:rsidRDefault="00187241" w:rsidP="00187241">
      <w:pPr>
        <w:spacing w:before="150" w:after="150" w:line="240" w:lineRule="auto"/>
        <w:ind w:firstLine="567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Art. 2º Esta Resolução entra em vigor na data da sua publicação.</w:t>
      </w:r>
    </w:p>
    <w:p w:rsidR="00187241" w:rsidRPr="008B0ECE" w:rsidRDefault="00187241" w:rsidP="00187241">
      <w:pPr>
        <w:spacing w:before="150" w:after="150" w:line="240" w:lineRule="auto"/>
        <w:jc w:val="center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DIRCEU RAPOSO DE MELLO</w:t>
      </w:r>
    </w:p>
    <w:p w:rsidR="00187241" w:rsidRPr="008B0ECE" w:rsidRDefault="00187241" w:rsidP="00187241">
      <w:pPr>
        <w:spacing w:before="150" w:after="150" w:line="240" w:lineRule="auto"/>
        <w:jc w:val="center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ANEXOS</w:t>
      </w:r>
    </w:p>
    <w:p w:rsidR="00187241" w:rsidRPr="008B0ECE" w:rsidRDefault="00187241" w:rsidP="00187241">
      <w:pPr>
        <w:spacing w:before="150" w:after="150" w:line="240" w:lineRule="auto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Na ausência do número CAS, este campo será preenchido com as chamadas de [Ref.1] até [Ref.8] indicando a referência de origem da nomenclatura em inglês, conforme a tabela:</w:t>
      </w:r>
    </w:p>
    <w:tbl>
      <w:tblPr>
        <w:tblW w:w="0" w:type="auto"/>
        <w:tblBorders>
          <w:top w:val="single" w:sz="6" w:space="0" w:color="808080"/>
          <w:left w:val="single" w:sz="6" w:space="0" w:color="808080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"/>
        <w:gridCol w:w="3720"/>
      </w:tblGrid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Cs w:val="24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Cs w:val="24"/>
                <w:lang w:eastAsia="pt-BR"/>
              </w:rPr>
              <w:t>Identificador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Cs w:val="24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Cs w:val="24"/>
                <w:lang w:eastAsia="pt-BR"/>
              </w:rPr>
              <w:t>Referência de nomenclatura em inglês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Cs w:val="24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Cs w:val="24"/>
                <w:lang w:eastAsia="pt-BR"/>
              </w:rPr>
              <w:t>[Ref.1]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Cs w:val="24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Cs w:val="24"/>
                <w:lang w:eastAsia="pt-BR"/>
              </w:rPr>
              <w:t>DCI/INN1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Cs w:val="24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Cs w:val="24"/>
                <w:lang w:eastAsia="pt-BR"/>
              </w:rPr>
              <w:t>[Ref.2]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Cs w:val="24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Cs w:val="24"/>
                <w:lang w:eastAsia="pt-BR"/>
              </w:rPr>
              <w:t>USAN2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Cs w:val="24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Cs w:val="24"/>
                <w:lang w:eastAsia="pt-BR"/>
              </w:rPr>
              <w:lastRenderedPageBreak/>
              <w:t>[Ref.3]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Cs w:val="24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Cs w:val="24"/>
                <w:lang w:eastAsia="pt-BR"/>
              </w:rPr>
              <w:t>Merck Index3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Cs w:val="24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Cs w:val="24"/>
                <w:lang w:eastAsia="pt-BR"/>
              </w:rPr>
              <w:t>[Ref.4]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Cs w:val="24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Cs w:val="24"/>
                <w:lang w:eastAsia="pt-BR"/>
              </w:rPr>
              <w:t>Martindale4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Cs w:val="24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Cs w:val="24"/>
                <w:lang w:eastAsia="pt-BR"/>
              </w:rPr>
              <w:t>[Ref.5]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Cs w:val="24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Cs w:val="24"/>
                <w:lang w:eastAsia="pt-BR"/>
              </w:rPr>
              <w:t>Index Nominum5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Cs w:val="24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Cs w:val="24"/>
                <w:lang w:eastAsia="pt-BR"/>
              </w:rPr>
              <w:t>[Ref.6]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Cs w:val="24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Cs w:val="24"/>
                <w:lang w:eastAsia="pt-BR"/>
              </w:rPr>
              <w:t>Chemfinder6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Cs w:val="24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Cs w:val="24"/>
                <w:lang w:eastAsia="pt-BR"/>
              </w:rPr>
              <w:t>[Ref.7]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Cs w:val="24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Cs w:val="24"/>
                <w:lang w:eastAsia="pt-BR"/>
              </w:rPr>
              <w:t>Chemindustry7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Cs w:val="24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Cs w:val="24"/>
                <w:lang w:eastAsia="pt-BR"/>
              </w:rPr>
              <w:t>[Ref.8]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Cs w:val="24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Cs w:val="24"/>
                <w:lang w:eastAsia="pt-BR"/>
              </w:rPr>
              <w:t>Handbook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Cs w:val="24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Cs w:val="24"/>
                <w:lang w:eastAsia="pt-BR"/>
              </w:rPr>
              <w:t>of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Cs w:val="24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Cs w:val="24"/>
                <w:lang w:eastAsia="pt-BR"/>
              </w:rPr>
              <w:t>Pharmaceutical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Cs w:val="24"/>
                <w:lang w:eastAsia="pt-BR"/>
              </w:rPr>
              <w:t xml:space="preserve"> Excipients8</w:t>
            </w:r>
          </w:p>
        </w:tc>
      </w:tr>
    </w:tbl>
    <w:p w:rsidR="00187241" w:rsidRPr="008B0ECE" w:rsidRDefault="00187241" w:rsidP="00187241">
      <w:pPr>
        <w:spacing w:before="150" w:after="150" w:line="240" w:lineRule="auto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Referências:</w:t>
      </w:r>
    </w:p>
    <w:p w:rsidR="00187241" w:rsidRPr="008B0ECE" w:rsidRDefault="00187241" w:rsidP="00187241">
      <w:pPr>
        <w:spacing w:before="150" w:after="150" w:line="240" w:lineRule="auto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1. WHO. </w:t>
      </w:r>
      <w:proofErr w:type="spellStart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International</w:t>
      </w:r>
      <w:proofErr w:type="spellEnd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 </w:t>
      </w:r>
      <w:proofErr w:type="spellStart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Nonproprietary</w:t>
      </w:r>
      <w:proofErr w:type="spellEnd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 </w:t>
      </w:r>
      <w:proofErr w:type="spellStart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Names</w:t>
      </w:r>
      <w:proofErr w:type="spellEnd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 (INN) for </w:t>
      </w:r>
      <w:proofErr w:type="spellStart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Pharmaceutical</w:t>
      </w:r>
      <w:proofErr w:type="spellEnd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 </w:t>
      </w:r>
      <w:proofErr w:type="spellStart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Substances</w:t>
      </w:r>
      <w:proofErr w:type="spellEnd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 CDROM. </w:t>
      </w:r>
      <w:proofErr w:type="spellStart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Lists</w:t>
      </w:r>
      <w:proofErr w:type="spellEnd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 1-90 </w:t>
      </w:r>
      <w:proofErr w:type="spellStart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of</w:t>
      </w:r>
      <w:proofErr w:type="spellEnd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 </w:t>
      </w:r>
      <w:proofErr w:type="spellStart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Proposed</w:t>
      </w:r>
      <w:proofErr w:type="spellEnd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 INN </w:t>
      </w:r>
      <w:proofErr w:type="spellStart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and</w:t>
      </w:r>
      <w:proofErr w:type="spellEnd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 </w:t>
      </w:r>
      <w:proofErr w:type="spellStart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Lists</w:t>
      </w:r>
      <w:proofErr w:type="spellEnd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 1-51 </w:t>
      </w:r>
      <w:proofErr w:type="spellStart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of</w:t>
      </w:r>
      <w:proofErr w:type="spellEnd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 </w:t>
      </w:r>
      <w:proofErr w:type="spellStart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Recommended</w:t>
      </w:r>
      <w:proofErr w:type="spellEnd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 INN. </w:t>
      </w:r>
      <w:proofErr w:type="spellStart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Cumulative</w:t>
      </w:r>
      <w:proofErr w:type="spellEnd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 </w:t>
      </w:r>
      <w:proofErr w:type="spellStart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List</w:t>
      </w:r>
      <w:proofErr w:type="spellEnd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 nº. 11. </w:t>
      </w:r>
      <w:proofErr w:type="spellStart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Geneva</w:t>
      </w:r>
      <w:proofErr w:type="spellEnd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: World Health </w:t>
      </w:r>
      <w:proofErr w:type="spellStart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Organization</w:t>
      </w:r>
      <w:proofErr w:type="spellEnd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, 2004.</w:t>
      </w:r>
    </w:p>
    <w:p w:rsidR="00187241" w:rsidRPr="008B0ECE" w:rsidRDefault="00187241" w:rsidP="00187241">
      <w:pPr>
        <w:spacing w:before="150" w:after="150" w:line="240" w:lineRule="auto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2. USP </w:t>
      </w:r>
      <w:proofErr w:type="spellStart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Dictionary</w:t>
      </w:r>
      <w:proofErr w:type="spellEnd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 </w:t>
      </w:r>
      <w:proofErr w:type="spellStart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of</w:t>
      </w:r>
      <w:proofErr w:type="spellEnd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 USAN </w:t>
      </w:r>
      <w:proofErr w:type="spellStart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and</w:t>
      </w:r>
      <w:proofErr w:type="spellEnd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 </w:t>
      </w:r>
      <w:proofErr w:type="spellStart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International</w:t>
      </w:r>
      <w:proofErr w:type="spellEnd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 </w:t>
      </w:r>
      <w:proofErr w:type="spellStart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Drug</w:t>
      </w:r>
      <w:proofErr w:type="spellEnd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 </w:t>
      </w:r>
      <w:proofErr w:type="spellStart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Names</w:t>
      </w:r>
      <w:proofErr w:type="spellEnd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. 2003. </w:t>
      </w:r>
      <w:proofErr w:type="spellStart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Rockville</w:t>
      </w:r>
      <w:proofErr w:type="spellEnd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(MD): United </w:t>
      </w:r>
      <w:proofErr w:type="spellStart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States</w:t>
      </w:r>
      <w:proofErr w:type="spellEnd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 </w:t>
      </w:r>
      <w:proofErr w:type="spellStart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Pharmacopeial</w:t>
      </w:r>
      <w:proofErr w:type="spellEnd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 </w:t>
      </w:r>
      <w:proofErr w:type="spellStart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Conventio</w:t>
      </w:r>
      <w:proofErr w:type="spellEnd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, 2003.</w:t>
      </w:r>
    </w:p>
    <w:p w:rsidR="00187241" w:rsidRPr="008B0ECE" w:rsidRDefault="00187241" w:rsidP="00187241">
      <w:pPr>
        <w:spacing w:before="150" w:after="150" w:line="240" w:lineRule="auto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3. </w:t>
      </w:r>
      <w:proofErr w:type="spellStart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O'Neil</w:t>
      </w:r>
      <w:proofErr w:type="spellEnd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 MJ (Ed). The Merck Index. 13th ed. </w:t>
      </w:r>
      <w:proofErr w:type="spellStart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Whitehouse</w:t>
      </w:r>
      <w:proofErr w:type="spellEnd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 </w:t>
      </w:r>
      <w:proofErr w:type="spellStart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Station</w:t>
      </w:r>
      <w:proofErr w:type="spellEnd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(NJ): Merck &amp; </w:t>
      </w:r>
      <w:proofErr w:type="spellStart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Co</w:t>
      </w:r>
      <w:proofErr w:type="spellEnd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., </w:t>
      </w:r>
      <w:proofErr w:type="spellStart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Inc</w:t>
      </w:r>
      <w:proofErr w:type="spellEnd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, 2001;</w:t>
      </w:r>
    </w:p>
    <w:p w:rsidR="00187241" w:rsidRPr="008B0ECE" w:rsidRDefault="00187241" w:rsidP="00187241">
      <w:pPr>
        <w:spacing w:before="150" w:after="150" w:line="240" w:lineRule="auto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4. </w:t>
      </w:r>
      <w:proofErr w:type="spellStart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Sweetman</w:t>
      </w:r>
      <w:proofErr w:type="spellEnd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 SC (Ed). </w:t>
      </w:r>
      <w:proofErr w:type="spellStart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Martindale</w:t>
      </w:r>
      <w:proofErr w:type="spellEnd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: The Complete </w:t>
      </w:r>
      <w:proofErr w:type="spellStart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Drug</w:t>
      </w:r>
      <w:proofErr w:type="spellEnd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 </w:t>
      </w:r>
      <w:proofErr w:type="spellStart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Reference</w:t>
      </w:r>
      <w:proofErr w:type="spellEnd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. London: </w:t>
      </w:r>
      <w:proofErr w:type="spellStart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Pharmaceutical</w:t>
      </w:r>
      <w:proofErr w:type="spellEnd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 Press. </w:t>
      </w:r>
      <w:proofErr w:type="spellStart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Electronic</w:t>
      </w:r>
      <w:proofErr w:type="spellEnd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 </w:t>
      </w:r>
      <w:proofErr w:type="spellStart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version</w:t>
      </w:r>
      <w:proofErr w:type="spellEnd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, vol. 125. </w:t>
      </w:r>
      <w:proofErr w:type="spellStart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Greenwood</w:t>
      </w:r>
      <w:proofErr w:type="spellEnd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 Village, Colorado: </w:t>
      </w:r>
      <w:proofErr w:type="spellStart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Micromedex</w:t>
      </w:r>
      <w:proofErr w:type="spellEnd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; 2005.</w:t>
      </w:r>
    </w:p>
    <w:p w:rsidR="00187241" w:rsidRPr="008B0ECE" w:rsidRDefault="00187241" w:rsidP="00187241">
      <w:pPr>
        <w:spacing w:before="150" w:after="150" w:line="240" w:lineRule="auto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5. </w:t>
      </w:r>
      <w:proofErr w:type="spellStart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Swiss</w:t>
      </w:r>
      <w:proofErr w:type="spellEnd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 </w:t>
      </w:r>
      <w:proofErr w:type="spellStart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Pharmaceutical</w:t>
      </w:r>
      <w:proofErr w:type="spellEnd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 </w:t>
      </w:r>
      <w:proofErr w:type="spellStart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Society</w:t>
      </w:r>
      <w:proofErr w:type="spellEnd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. Index </w:t>
      </w:r>
      <w:proofErr w:type="spellStart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Nominum</w:t>
      </w:r>
      <w:proofErr w:type="spellEnd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 2003 - </w:t>
      </w:r>
      <w:proofErr w:type="spellStart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International</w:t>
      </w:r>
      <w:proofErr w:type="spellEnd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 </w:t>
      </w:r>
      <w:proofErr w:type="spellStart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Drug</w:t>
      </w:r>
      <w:proofErr w:type="spellEnd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 </w:t>
      </w:r>
      <w:proofErr w:type="spellStart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Directory</w:t>
      </w:r>
      <w:proofErr w:type="spellEnd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. </w:t>
      </w:r>
      <w:proofErr w:type="spellStart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Electronic</w:t>
      </w:r>
      <w:proofErr w:type="spellEnd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 </w:t>
      </w:r>
      <w:proofErr w:type="spellStart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version</w:t>
      </w:r>
      <w:proofErr w:type="spellEnd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 vol. 125. </w:t>
      </w:r>
      <w:proofErr w:type="spellStart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Greenwood</w:t>
      </w:r>
      <w:proofErr w:type="spellEnd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 Village, Colorado: </w:t>
      </w:r>
      <w:proofErr w:type="spellStart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Micromedex</w:t>
      </w:r>
      <w:proofErr w:type="spellEnd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; 2005.</w:t>
      </w:r>
    </w:p>
    <w:p w:rsidR="00187241" w:rsidRPr="008B0ECE" w:rsidRDefault="00187241" w:rsidP="00187241">
      <w:pPr>
        <w:spacing w:before="150" w:after="150" w:line="240" w:lineRule="auto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6. </w:t>
      </w:r>
      <w:proofErr w:type="spellStart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CambridgeSoft</w:t>
      </w:r>
      <w:proofErr w:type="spellEnd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 Corporation. </w:t>
      </w:r>
      <w:proofErr w:type="spellStart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Chemfinder</w:t>
      </w:r>
      <w:proofErr w:type="spellEnd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 2005. Banco de dados disponível no Endereço </w:t>
      </w:r>
      <w:proofErr w:type="spellStart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eletrônico:http</w:t>
      </w:r>
      <w:proofErr w:type="spellEnd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://</w:t>
      </w:r>
      <w:proofErr w:type="spellStart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chemfinder.cambridgesoft</w:t>
      </w:r>
      <w:proofErr w:type="spellEnd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. com (acessado em 15.07.05).</w:t>
      </w:r>
    </w:p>
    <w:p w:rsidR="00187241" w:rsidRPr="008B0ECE" w:rsidRDefault="00187241" w:rsidP="00187241">
      <w:pPr>
        <w:spacing w:before="150" w:after="150" w:line="240" w:lineRule="auto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7.Chemindustry.com. Banco de dados disponível no endereço eletrônico: http://chemindustry.com/ (acessado em 20.08.05).</w:t>
      </w:r>
    </w:p>
    <w:p w:rsidR="00187241" w:rsidRPr="008B0ECE" w:rsidRDefault="00187241" w:rsidP="00187241">
      <w:pPr>
        <w:spacing w:before="150" w:after="150" w:line="240" w:lineRule="auto"/>
        <w:jc w:val="both"/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</w:pPr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8. </w:t>
      </w:r>
      <w:proofErr w:type="spellStart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Kibbe</w:t>
      </w:r>
      <w:proofErr w:type="spellEnd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 AH. </w:t>
      </w:r>
      <w:proofErr w:type="spellStart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Handbook</w:t>
      </w:r>
      <w:proofErr w:type="spellEnd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 </w:t>
      </w:r>
      <w:proofErr w:type="spellStart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of</w:t>
      </w:r>
      <w:proofErr w:type="spellEnd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 </w:t>
      </w:r>
      <w:proofErr w:type="spellStart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Pharmaceultical</w:t>
      </w:r>
      <w:proofErr w:type="spellEnd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 </w:t>
      </w:r>
      <w:proofErr w:type="spellStart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Excipients</w:t>
      </w:r>
      <w:proofErr w:type="spellEnd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. 3thedition. Washington, DC: American </w:t>
      </w:r>
      <w:proofErr w:type="spellStart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Pharmaceutical</w:t>
      </w:r>
      <w:proofErr w:type="spellEnd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 </w:t>
      </w:r>
      <w:proofErr w:type="spellStart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Association</w:t>
      </w:r>
      <w:proofErr w:type="spellEnd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; London, </w:t>
      </w:r>
      <w:proofErr w:type="spellStart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>UK:Pharmaceutical</w:t>
      </w:r>
      <w:proofErr w:type="spellEnd"/>
      <w:r w:rsidRPr="008B0ECE">
        <w:rPr>
          <w:rFonts w:ascii="Times New Roman" w:eastAsia="Times New Roman" w:hAnsi="Times New Roman"/>
          <w:strike/>
          <w:color w:val="000000"/>
          <w:sz w:val="24"/>
          <w:szCs w:val="24"/>
          <w:lang w:eastAsia="pt-BR"/>
        </w:rPr>
        <w:t xml:space="preserve"> Press.</w:t>
      </w:r>
    </w:p>
    <w:p w:rsidR="00187241" w:rsidRPr="008B0ECE" w:rsidRDefault="00187241" w:rsidP="00187241">
      <w:pPr>
        <w:spacing w:before="150" w:after="150" w:line="240" w:lineRule="auto"/>
        <w:jc w:val="both"/>
        <w:rPr>
          <w:rFonts w:ascii="Times New Roman" w:eastAsia="Times New Roman" w:hAnsi="Times New Roman"/>
          <w:strike/>
          <w:color w:val="000000"/>
          <w:sz w:val="20"/>
          <w:szCs w:val="20"/>
          <w:lang w:eastAsia="pt-BR"/>
        </w:rPr>
      </w:pPr>
      <w:r w:rsidRPr="008B0ECE">
        <w:rPr>
          <w:rFonts w:ascii="Times New Roman" w:eastAsia="Times New Roman" w:hAnsi="Times New Roman"/>
          <w:strike/>
          <w:color w:val="000000"/>
          <w:sz w:val="20"/>
          <w:szCs w:val="20"/>
          <w:lang w:eastAsia="pt-BR"/>
        </w:rPr>
        <w:t>ANEXO 1 - INCLUSÕES NA LISTA DCB 2004 PUBLICADA PELA RDC N° 111 DE 29 DE ABRIL DE 2005</w:t>
      </w:r>
    </w:p>
    <w:tbl>
      <w:tblPr>
        <w:tblW w:w="0" w:type="auto"/>
        <w:tblBorders>
          <w:top w:val="single" w:sz="6" w:space="0" w:color="808080"/>
          <w:left w:val="single" w:sz="6" w:space="0" w:color="808080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640"/>
        <w:gridCol w:w="2170"/>
        <w:gridCol w:w="2385"/>
        <w:gridCol w:w="649"/>
        <w:gridCol w:w="834"/>
        <w:gridCol w:w="1877"/>
      </w:tblGrid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Substância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Nº CAS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Referência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Comentários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Número DCB 2004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Cód. de Posição (Sugestão)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Decisão da Subcomissão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acetato básico de chumbo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1335-32-6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Chemindustry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basic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lead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acetate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09339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07453.01-9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Incluir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acetato de chumbo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301-04-2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Chemindustry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- lead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acetate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09340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07455.01-1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Incluir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acetato de dl-alfa-tocoferol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7695-91-2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Martindale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- dl-alpha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tocopheryl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acetate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09341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07456.02-6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Incluir como acetato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racealfatocoferol</w:t>
            </w:r>
            <w:proofErr w:type="spellEnd"/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acetato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etila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141-78-6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USAN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ethyl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acetate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09342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07457.01-4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Incluir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acetato de lisina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57282-49-2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USAN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lysine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acetate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09343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04164.06-7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Incluir como derivado de lisina.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acetato de magnésio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tetraidratado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3581-93-9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Chemindustry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magnesium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acetate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tetrahydrate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09344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07458.01-0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Incluir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acetato de zinco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557-34-6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Martindale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anhydrous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zinc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acetate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09345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07459.01-7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Incluir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acetiltirosina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537-55-</w:t>
            </w: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lastRenderedPageBreak/>
              <w:t>Chemindustry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- N-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lastRenderedPageBreak/>
              <w:t>acetyltyrosine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09346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07460.01-</w:t>
            </w: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lastRenderedPageBreak/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lastRenderedPageBreak/>
              <w:t>Incluir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acetofenida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algestona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24356-94-3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USAN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algestone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acetophenide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09347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00383.03-1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Incluir como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algestona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acetofenida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e derivado da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algestona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.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acexamato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zinco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70020-71-2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MI 13ed.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zinc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acexamate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09348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00074.04-7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Incluir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ácido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docosenóico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112 - 85-6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Fiedler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Encyclopedia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of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excipients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behenic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acid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or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docosanoic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acid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09349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07461.01-1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Incluir como ácido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docosanóico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.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ácido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eicosanóico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506-30-9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Fiedler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Encyclopedia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of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excipients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- n-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eicosanoic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acid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sinônimo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arachic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acid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e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arachidic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acid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09350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07462.01-8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Incluir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ácido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mirístico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544-63-8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MI 12ed.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myristic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acid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09351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07463.01-4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Incluir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ácido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octadecatetranóico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20290-75-9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Scinfinder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- 6,9,12,15-octadecatetraenoic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acid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09352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07464.01-0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Incluir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ácido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palmitoléico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373-49-9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Fiedler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Encyclopedia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of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excipients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palmitoleic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acid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09353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07465.01-7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Incluir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ácido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pentadecanóico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1002-84-2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Fiedler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Encyclopedia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of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excipients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pentadecanoic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acid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09354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07466.01-3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Incluir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alfamilase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9000-90-2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USAN - alpha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amylase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09355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07467.01-0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Incluir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alfapineno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80-56-8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MI 12ed. - y-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pinene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09356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07468.01-6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Incluir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alumínio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7429-90-5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MI 12ed.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aluminum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Não incluir. Não usado como metal livre em medicamentos.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aminofilina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bihidratada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injetável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49746-06-7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Martindale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aminophylline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dihydrate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09357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00503.02-9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Incluir como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aminofilina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diidratada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e derivado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aminofilina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.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aminometilisoxazol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1072-67-9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Chemindustry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Isoxazole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, 3-amino-5-methyl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09358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07469.01-2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Incluir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amoíaco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9000-03-7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MI 12ed.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ammoniacum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Não incluir. Não é usado como princípio ativo de medicamentos.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amônia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7664-41-7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MI 12ed.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ammonia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Não incluir.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aspartato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zinco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36393-20-1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Chemindustry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zinc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aspartate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09359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00082.06-6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Incluir como derivado do ácido aspártico.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betaciclodextrina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nimesulida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[Ref.4]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Martindale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nimesulide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betacyclodextrin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complex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09360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04978.02-1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Incluir como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nimesulida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betaciclodextrina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e derivado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nimesulida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.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betainterferona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145258-61-3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USAN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interferona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beta-1a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09361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00918.03-2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Incluir como derivado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betainterferona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.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bicarbonato de amônio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1066-33-7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MI 12ed.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ammonium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bicarbonate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09362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07470.01-0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Incluir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bisglicinato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cálcio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56960-17-9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Scinfinder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calcium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bisglycinate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09363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07471.01-7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Incluir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borneol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507-70-0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MI 12ed.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borneol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09364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07472.01-3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Incluir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boro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7440-42-8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MI 12ed.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boron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Não incluir. Não usado como metal livre em medicamentos.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butimerina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Não incluir. Não </w:t>
            </w: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lastRenderedPageBreak/>
              <w:t>encontrada nenhuma informação na literatura.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lastRenderedPageBreak/>
              <w:t xml:space="preserve">butóxido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piperanila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51-03-6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USAN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piperonyl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butoxide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09365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07473.01-0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Incluir como butóxido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piperonila</w:t>
            </w:r>
            <w:proofErr w:type="spellEnd"/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cálcio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7440-70-2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MI 12ed.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calcium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Não incluir. Não usado como metal livre em medicamentos.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carbonato de amônio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8000-73-5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USAN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ammonium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carbonate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09366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07474.01-6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Incluir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carvão vegetal ativado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16291-96-6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USAN/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Chemindustry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charcoal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,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activated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09367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07475.01-2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Incluir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cefaclor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monoidratado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70356-03-5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USAN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cefaclor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monohydrate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09368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01428.02-0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Incluir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cefodizima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dissódica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86329-79-5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Chemindustry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dissodium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cefodizime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09369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01463.02-0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Incluir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ceftazidima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pentaidratada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78439-06-2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Martindale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ceftazidime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pentahydrate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09370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01484.03-6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Incluir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celulose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microcristalina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9004-34-6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Handbook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of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Excipients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cellulose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,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microcrystalline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09371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07476.01-9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Incluir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citrato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cálcio ferroso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53684-61-0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MI 13ed.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ferrous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calcium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citrate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09372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07477.01-5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Incluir como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citrato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ferroso de cálcio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citrato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potássio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monoidratado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6100-05-6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USAN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tripotassium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citrate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monohydrate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09373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07478.01-1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Incluir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citrato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sódio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monoidratado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Não incluir, sem referência. Só foi encontrado o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citrato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sódio anidro,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diidratado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e o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pentaidratado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(36833-40-6). Busca feita em todas as literaturas inclusive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Scinfinder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.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cloridrato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doxorrubicina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lipossomal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peguilada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25316-40-9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USAN/MI 12ed.-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doxorubicin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hydrochloride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O cloridrato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doxorrubicina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encapsulado em lipossomas com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metoxipolietilenoglicol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(MPEG) conjugado na superfície. Esse processo é conhecido como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peguilação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e protege os lipossomas de detecção pelo sistema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fagocítico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mononuclear, o que prolonga o tempo de circulação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sangüínea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Não incluir, pois o CAS apresentado refere-se ao cloridrato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doxorrubicina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já presente na lista DCB. Não há CAS específico para a denominação Apresentada, a qual é resultado de um recurso farmacotécnico para melhor direcionamento do fármaco.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cloridrato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palonosentrona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135729-62-3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USAN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palonosetron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hydrochloride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09374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05305.02-0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Incluir como derivado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palonosentrona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.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cloridrato de sibutramina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monoidratado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125494-59-9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MI 13 ed.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sibutramine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hydrochloride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monohydrate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09375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06234.03-8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Incluir como derivado de sibutramina.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cloridrato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vardenafila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224785-91-5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Scinfinder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vardenafil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monohydrochloride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09376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07128.02-9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Incluir como derivado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vardenafila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.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cloridrato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vardenafila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triidratado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330808-88-3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Scinfinder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vardenafil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monohydrochloride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,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trihydrate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09377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07128.03-7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Incluir como derivado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vardenafila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.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dibehenato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glicerol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94201-62-4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Pharmaceutical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Excipients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. London: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Pharmaceutical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Press. Eletronic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version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, 2005.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docosanoic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acid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,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diester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with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glycerin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09378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07479.01-8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Incluir como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didocosanoato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glicerol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lastRenderedPageBreak/>
              <w:t>dicloridrato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vardenafila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224789-15-5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USAN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vardenafil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dihydrochloride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09379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07128.04-5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Incluir como derivado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vardenafila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.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estrógenos conjugados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12126-59-9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USAN /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Scinfinder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estrogens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,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conjugated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09380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07480.01-6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Incluir como estrogênios conjugados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exenatida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141758-74-9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INN 2004 -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exenatide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09381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07481.01-2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Incluir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heterocodeína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[Ref.3]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MI 12 ed.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morphine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6-methyl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ether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;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heterocodeine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09382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07482.01-9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Incluir como molécula base.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Menotrofinas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9002-68-0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USAN/MI 12ed./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Martindale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monotrophins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/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menotropins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O CAS 9002-68-0 corresponde ao nome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menotrofinas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que é um termo aplicado a um extrato de urina pós-menopausa contendo atividades FSH e LH (1:1).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09383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07483.01-5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Incluir como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menotropina</w:t>
            </w:r>
            <w:proofErr w:type="spellEnd"/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óleo mineral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8012-95-1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Handbook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of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Excipients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- mineral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oil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;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liquid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petrolatum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09388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07488.01-7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Incluir como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petrolato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líquido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óxido cúprico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1317-38-0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MI 12 ed.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cupric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oxide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09384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07484.01-1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Incluir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óxido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cuproso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1317-39-1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MI 12 ed.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cuprous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oxide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09385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07485.01-8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Incluir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óxido férrico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1309-37-1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MI 12 ed.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ferric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oxide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09386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07486.01-4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Incluir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óxido ferroso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1345-25-1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MI 12 ed.-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ferrous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oxide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09387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07487.01-0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Incluir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racealfatocoferol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10191-41-0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Martindale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- dl-alpha-tocoferol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09389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07456.01-8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Incluir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ranelato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estrôncio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135459-87-9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Scinfinder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distrontium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ranelate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09390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07489.01-3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Incluir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sulfato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glicosamina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29031-19-4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MI 12ed.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glucosamine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sulfate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salt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09391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03488.02-0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Incluir como derivado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glicosamina</w:t>
            </w:r>
            <w:proofErr w:type="spellEnd"/>
          </w:p>
        </w:tc>
      </w:tr>
    </w:tbl>
    <w:p w:rsidR="00187241" w:rsidRPr="008B0ECE" w:rsidRDefault="00187241" w:rsidP="00187241">
      <w:pPr>
        <w:spacing w:before="150" w:after="150" w:line="240" w:lineRule="auto"/>
        <w:jc w:val="both"/>
        <w:rPr>
          <w:rFonts w:ascii="Times New Roman" w:eastAsia="Times New Roman" w:hAnsi="Times New Roman"/>
          <w:strike/>
          <w:color w:val="000000"/>
          <w:sz w:val="20"/>
          <w:szCs w:val="20"/>
          <w:lang w:eastAsia="pt-BR"/>
        </w:rPr>
      </w:pPr>
      <w:r w:rsidRPr="008B0ECE">
        <w:rPr>
          <w:rFonts w:ascii="Times New Roman" w:eastAsia="Times New Roman" w:hAnsi="Times New Roman"/>
          <w:strike/>
          <w:color w:val="000000"/>
          <w:sz w:val="20"/>
          <w:szCs w:val="20"/>
          <w:lang w:eastAsia="pt-BR"/>
        </w:rPr>
        <w:t>ANEXO 2 - ALTERAÇÕES NA LISTA DCB 2004 PUBLICADA PELA RDC N° 111 DE 29 DE ABRIL DE 2005</w:t>
      </w:r>
      <w:r w:rsidRPr="008B0ECE">
        <w:rPr>
          <w:rFonts w:ascii="Times New Roman" w:eastAsia="Times New Roman" w:hAnsi="Times New Roman"/>
          <w:b/>
          <w:strike/>
          <w:color w:val="000000"/>
          <w:sz w:val="20"/>
          <w:szCs w:val="20"/>
          <w:lang w:eastAsia="pt-BR"/>
        </w:rPr>
        <w:t>(*)</w:t>
      </w:r>
    </w:p>
    <w:p w:rsidR="00187241" w:rsidRPr="008B0ECE" w:rsidRDefault="00187241" w:rsidP="00187241">
      <w:pPr>
        <w:spacing w:before="150" w:after="150" w:line="240" w:lineRule="auto"/>
        <w:jc w:val="center"/>
        <w:rPr>
          <w:rFonts w:ascii="Times New Roman" w:eastAsia="Times New Roman" w:hAnsi="Times New Roman"/>
          <w:b/>
          <w:strike/>
          <w:color w:val="0000FF"/>
          <w:sz w:val="20"/>
          <w:szCs w:val="20"/>
          <w:lang w:eastAsia="pt-BR"/>
        </w:rPr>
      </w:pPr>
      <w:r w:rsidRPr="008B0ECE">
        <w:rPr>
          <w:rFonts w:ascii="Times New Roman" w:eastAsia="Times New Roman" w:hAnsi="Times New Roman"/>
          <w:b/>
          <w:strike/>
          <w:color w:val="0000FF"/>
          <w:sz w:val="20"/>
          <w:szCs w:val="20"/>
          <w:lang w:eastAsia="pt-BR"/>
        </w:rPr>
        <w:t>(Republicado no DOU nº 204, de 19 de outubro de 2005)</w:t>
      </w:r>
    </w:p>
    <w:tbl>
      <w:tblPr>
        <w:tblW w:w="0" w:type="auto"/>
        <w:tblBorders>
          <w:top w:val="single" w:sz="6" w:space="0" w:color="808080"/>
          <w:left w:val="single" w:sz="6" w:space="0" w:color="808080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"/>
        <w:gridCol w:w="1815"/>
        <w:gridCol w:w="1681"/>
        <w:gridCol w:w="3289"/>
        <w:gridCol w:w="2544"/>
      </w:tblGrid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Número DCB 2004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Substância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DCB 2004 (sugestão)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Justificativa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Decisão da Subcomissão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08717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acetato de tocoferol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acetato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dextroalfatocoferol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(CAS: 58-95-7)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Martindale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- d-Alpha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Tocopheryl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Acetate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. Para o tocoferol existem as forma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d-alfa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e dl-alfa tocoferol todos com número CAS diferentes. O que está hoje na DCB é o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dextroalfa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Fazer modificação e inclusão do CAS.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00088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acetato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triidratado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sódio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acetato de sódio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triidratado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Modificar a posição do grau de hidratação da molécula no nome.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Fazer modificação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02779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acetonida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descinolona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descinolona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acetonida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É uma ligação mais fraca que a iônica (transferência de carga), não é um sal típico. Por uma decisão da SDCB em sua reunião de setembro, o nome do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pricinípio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ativo vai na frente da molécula transportadora (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olamina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,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betaciclodextrina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,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acetonida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,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acetofenida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Fazer modificação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00079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acetonida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fluclorolona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fluclorolona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acetonida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É uma ligação mais fraca que a iônica (transferência de carga), não é um sal típico. Por uma decisão da SDCB em sua reunião de setembro, o nome do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pricinípio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ativo vai na frente da molécula transportadora (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olamina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,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betaciclodextrina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,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acetonida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,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acetofenida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Fazer modificação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04159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acetonida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fluocinolona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fluocinolona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acetonida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É uma ligação mais fraca que a iônica (transferência de carga), não é um sal típico. Por uma decisão da SDCB em sua reunião de </w:t>
            </w: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lastRenderedPageBreak/>
              <w:t xml:space="preserve">setembro, o nome do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pricinípio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ativo vai na frente da molécula transportadora (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olamina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,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betaciclodextrina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,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acetonida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,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acetofenida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lastRenderedPageBreak/>
              <w:t>Fazer modificação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08854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acetonida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triancinolona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triancinolona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acetonida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É uma ligação mais fraca que a iônica (transferência de carga), não é um sal típico. Por uma decisão da SDCB em sua reunião de setembro, o nome do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pricinípio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ativo vai na frente da molécula transportadora (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olamina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,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betaciclodextrina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,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acetonida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,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acetofenida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Fazer modificação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00099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ácido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aminobutírico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ácido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gamaaminobutírico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MI 12ed. - ?-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aminobutiric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acid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. Corrigir o nome, pois o CAS já está correspondente ao nome do ácido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gamaaminobutírico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(GABA)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Modificar para ácido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gamaminobutírico</w:t>
            </w:r>
            <w:proofErr w:type="spellEnd"/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00509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alfaeptacogue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ativado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alfaeptacogue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USAN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eptacog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alfa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Manter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alfaeptacogue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ativado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00510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alfaestradiol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alfatradiol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INN 2004: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alfatradiol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.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Changing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17 alpha estradiol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alfatradiol:OMS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official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approval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A decisão da SDCB pela não modificação do nome pautou-se no uso mais comum do nome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alfaestradiol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, aplicando, desta forma, o item 2.5 da RDC n° 276/02.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09322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betaciclodextrina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piroxicam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piroxicam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betaciclodextrina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É uma ligação mais fraca que a iônica (transferência de carga), não é um sal típico. Por uma decisão da SDCB em sua reunião de setembro, o nome do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pricinípio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ativo vai na frente da molécula transportadora (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olamina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,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betaciclodextrina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,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acetonida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,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acetofenida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Fazer modificação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02576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colina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hemitartarato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colina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Adequação do nome devido a decisão da SDCB reunião de julho de 2005 -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, tartarato ácido são sinônimos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hemitartarato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e a SDCB adotará o nome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hemitartarato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Fazer modificação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01304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deanol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hemitartarato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deanol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Adequação do nome devido a decisão da SDCB reunião de julho de 2005 -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, tartarato ácido são sinônimos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hemitartarato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e a SDCB adotará o nome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hemitartarato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Fazer modificação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01305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detájmio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hemitartarato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detájmio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Adequação do nome devido a decisão da SDCB reunião de julho de 2005 -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, tartarato ácido são sinônimos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hemitartarato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e a SDCB adotará o nome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hemitartarato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Fazer modificação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02878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dextromoramida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hemitartarato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dextromoramida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Adequação do nome devido a decisão da SDCB reunião de julho de 2005 -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, tartarato ácido são sinônimos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hemitartarato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e a SDCB adotará o nome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hemitartarato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Fazer modificação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03014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diidrocodeína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hemitartarato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diidrocodeína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Adequação do nome devido a decisão da SDCB reunião de julho de 2005 -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, tartarato ácido são sinônimos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hemitartarato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e a SDCB adotará o nome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hemitartarato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Fazer modificação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03060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dimetacrina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hemitartarato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dimetacrina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Adequação do nome devido a decisão da SDCB reunião de julho de 2005 -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, tartarato ácido são sinônimos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hemitartarato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e a SDCB adotará o nome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hemitartarato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Fazer modificação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03442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epinefrina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hemitartarato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epinefrina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Adequação do nome devido a decisão da SDCB reunião de julho de 2005 -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, tartarato ácido são sinônimos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hemitartarato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e a SDCB adotará o nome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hemitartarato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Fazer modificação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03893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fendimetrazina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hemitartarato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fendimetrazina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Adequação do nome devido a decisão da SDCB reunião de julho de 2005 -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, tartarato ácido são sinônimos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hemitartarato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e a SDCB adotará o nome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hemitartarato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Fazer modificação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03937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fenindamina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hemitartarato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fenindamina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Adequação do nome devido a decisão da SDCB reunião de julho de 2005 -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, tartarato ácido são sinônimos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hemitartarato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e a SDCB adotará o nome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hemitartarato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Fazer modificação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04654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hidrocodona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hemitartarato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hidrocodona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Adequação do nome devido a decisão da SDCB reunião de julho de 2005 -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, tartarato ácido são sinônimos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hemitartarato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e a SDCB adotará o nome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hemitartarato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Fazer modificação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04676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hidromorfinol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hemitartarato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hidromorfinol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Adequação do nome devido a decisão da SDCB reunião de julho de 2005 -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, tartarato ácido são sinônimos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hemitartarato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e a SDCB adotará o nome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hemitartarato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Fazer modificação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05267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levometadona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hemitartarato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levometadona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Adequação do nome devido a decisão da SDCB reunião de julho de 2005 -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, tartarato ácido são sinônimos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hemitartarato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e a SDCB adotará o nome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hemitartarato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Fazer modificação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05744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metaraminol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hemitartarato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metaraminol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Adequação do nome devido a decisão da SDCB reunião de julho de 2005 -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, tartarato ácido são sinônimos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hemitartarato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e a SDCB adotará o nome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hemitartarato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Fazer modificação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00478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nicotinila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hemitartarato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nicotinila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Adequação do nome devido a decisão da SDCB reunião de julho de 2005 -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, tartarato ácido são sinônimos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hemitartarato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e a SDCB adotará o nome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hemitartarato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Fazer modificação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06486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norepinefrina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hemitartarato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norepinefrina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Adequação do nome devido a decisão da SDCB reunião de julho de 2005 -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, tartarato ácido são sinônimos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hemitartarato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e a SDCB adotará o nome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hemitartarato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Fazer modificação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06716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oxicodona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hemitartarato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oxicodona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Adequação do nome devido a decisão da SDCB reunião de julho de 2005 -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, tartarato ácido são sinônimos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hemitartarato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e a SDCB adotará o nome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hemitartarato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Fazer modificação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07293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prajmálio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hemitartarato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prajmálio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Adequação do nome devido a decisão da SDCB reunião de julho de 2005 -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, tartarato ácido são sinônimos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hemitartarato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e a SDCB adotará o nome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hemitartarato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Fazer modificação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07607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racemoramida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hemitartarato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racemoramida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Adequação do nome devido a decisão da SDCB reunião de julho de 2005 -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, tartarato ácido são sinônimos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hemitartarato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e a SDCB adotará o nome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hemitartarato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Fazer modificação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01711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carbamida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uréia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Fazer alterações em todos os derivados da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uréia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Fazer modificação. A decisão da SDCB pela modificação do nome pautou-se no uso mais comum do nome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uréia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, aplicando, desta forma, o item 2.5 da RDC n° 276/02.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01712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carbamida cálcica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uréia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cálcica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A decisão da SDCB pela modificação do nome pautou-se no uso mais comum do nome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uréia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, aplicando, desta forma, o item 2.5 da RDC n° 276/02.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Fazer modificação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01911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ceftriaxona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sódica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hemieptaidratada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ceftriaxona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dissódica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hemieptaidratada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A fórmula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estrural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e molecular mostra 2 moléculas de sódio.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Chemindustry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ceftriaxone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disodium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salt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hemiheptahydrate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Fazer modificação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04039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cloridrato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fexofenadina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cloridrato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fexofenadina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Correção do nome. Estava faltando o de.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Modificar para cloridrato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fexofenadina</w:t>
            </w:r>
            <w:proofErr w:type="spellEnd"/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00173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edetato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diidratado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dissódico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edetato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dissódico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diidratado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Modificar a posição do grau de hidratação da molécula no nome.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Fazer modificação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03510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escina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sódica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escina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MI 12ed.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escin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. Não há referência para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escina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sódica e o CAS que está da DCB é referente a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escina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Fazer modificação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04689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hidroxicarbamida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hidroxiuréia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A decisão da SDCB pela modificação do nome pautou-se no uso mais comum do nome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uréia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, aplicando, desta forma, o item 2.5 da RDC n° 276/02.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Fazer modificação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04827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imidazolidinilcarbamida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imidazolidiniluréia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A decisão da SDCB pela modificação do nome pautou-se no uso mais comum do nome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uréia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, aplicando, desta forma, o item 2.5 da RDC n° 276/02.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Fazer modificação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05187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lecitina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lecitina de ovo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Não existe só lecitina e a lecitina hoje presente na DCB é a lecitina de ovo (CAS: 8002-43-5)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Fazer modificação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08718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nicotinato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tocoferol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nicotinato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racealfatocoferol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Martindale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tocoferil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nicotinate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. (CAS: 16676-75-8). Inserir CAS.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Fazer modificação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09336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olamina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ciclopirox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ciclopirox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olamina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É uma ligação mais fraca que a iônica (transferência de carga), não é um sal típico. Por uma decisão da SDCB em sua reunião de setembro, o nome do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pricinípio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ativo vai na frente da molécula transportadora (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olamina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,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betaciclodextrina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,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acetonida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,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acetofenida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Fazer modificação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07213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olamina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piroxicam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piroxicam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olamina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É uma ligação mais fraca que a iônica (transferência de carga), não é um sal típico. Por uma decisão da SDCB em sua reunião de setembro, o nome do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pricinípio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ativo vai na frente da molécula transportadora (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olamina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,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betaciclodextrina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,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acetonida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,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acetofenida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Fazer modificação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01713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peróxido de carbamida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peróxido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uréia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A decisão da SDCB pela modificação do nome pautou-se no uso mais comum do nome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uréia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, aplicando, desta forma, o item 2.5 da RDC n° 276/02.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Fazer modificação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08719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succinato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tocoferol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succinato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ácido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dextroalfatocoferol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(CAS: 4345-03-3)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Martindale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- d-Alpha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Tocopheryl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Acid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Succinate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. Para o tocoferol existem as forma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d-alfa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e dl-alfa tocoferol todos com número CAS diferentes. O que está hoje na DCB é o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d-alfa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Modificar para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hemisuccinato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dextroalfatocoferol</w:t>
            </w:r>
            <w:proofErr w:type="spellEnd"/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08165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sulfato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diidratado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cálcio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sulfato de cálcio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diidratado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Modificar a posição do grau de hidratação da molécula no nome.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Fazer modificação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00351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tartarato ácido de potássio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hemitartarato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potássio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Adequação do nome devido a decisão da SDCB reunião de julho de 2005 -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, tartarato ácido são sinônimos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hemitartarato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e a SDCB adotará o nome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hemitartarato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Fazer modificação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08716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tocoferol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dextroalfatocoferol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Martindale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- d-alpha-tocoferol. Para o tocoferol existem as forma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d-alfa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e dl-alfa tocoferol todos com número CAS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di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- rentes. O que está hoje na DCB é o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d-alfa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Fazer modificação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06285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undecilato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neomicina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undecilenato de neomicina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Modificar o nome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undecilato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neomicina para undecilenato de neomicina CAS 1406-04-8 (USAN). O nome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undecilato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neomicina não apresenta referência bibliográfica.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Fazer modificação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09059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vacina contra tuberculose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vacina BCG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Martindale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- BCG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vaccine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. Esta vacina apresenta atualmente outras indicações que não apenas a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contra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tuberculose.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Fazer modificação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09103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vaselina amarela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petrolato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amarelo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O CAS que está na DCB 2004 é referente ao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petrolato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amarelo (CAS 8009-03-8) e o nome vaselina não é mais utilizado por ser nome comercial.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Fazer modificação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09104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vaselina branca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petrolato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branco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Martindale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white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soft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paraffin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.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Synonyms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: 905 (mineral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hydrocarbons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);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Paraff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.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Moll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. Alb.;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Paraffinum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Molle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Album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; Vaselina Branca; Vaselina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filante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; Vaseline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Officinale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; White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Petrolatum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; White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Petroleum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Jelly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. Retirar o CAS.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Fazer modificação</w:t>
            </w:r>
          </w:p>
        </w:tc>
      </w:tr>
    </w:tbl>
    <w:p w:rsidR="00187241" w:rsidRPr="008B0ECE" w:rsidRDefault="00187241" w:rsidP="00187241">
      <w:pPr>
        <w:spacing w:before="150" w:after="150" w:line="240" w:lineRule="auto"/>
        <w:jc w:val="both"/>
        <w:rPr>
          <w:rFonts w:ascii="Times New Roman" w:eastAsia="Times New Roman" w:hAnsi="Times New Roman"/>
          <w:strike/>
          <w:color w:val="000000"/>
          <w:sz w:val="20"/>
          <w:szCs w:val="20"/>
          <w:lang w:eastAsia="pt-BR"/>
        </w:rPr>
      </w:pPr>
      <w:r w:rsidRPr="008B0ECE">
        <w:rPr>
          <w:rFonts w:ascii="Times New Roman" w:eastAsia="Times New Roman" w:hAnsi="Times New Roman"/>
          <w:strike/>
          <w:color w:val="000000"/>
          <w:sz w:val="20"/>
          <w:szCs w:val="20"/>
          <w:lang w:eastAsia="pt-BR"/>
        </w:rPr>
        <w:t>ANEXO 3 - EXCLUSÕES NA LISTA DCB 2004 PUBLICADA PELA RDC N° 111 DE 29 DE ABRIL DE 2005</w:t>
      </w:r>
    </w:p>
    <w:tbl>
      <w:tblPr>
        <w:tblW w:w="0" w:type="auto"/>
        <w:tblBorders>
          <w:top w:val="single" w:sz="6" w:space="0" w:color="808080"/>
          <w:left w:val="single" w:sz="6" w:space="0" w:color="808080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0"/>
        <w:gridCol w:w="570"/>
        <w:gridCol w:w="1332"/>
        <w:gridCol w:w="426"/>
        <w:gridCol w:w="5682"/>
        <w:gridCol w:w="1117"/>
      </w:tblGrid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Código de Posição 2004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Nº DCB 2004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Substância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Nº CAS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Comentário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Decisão da Subcomissão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00646.02-4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00867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alfacetoglutarato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arginina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Excluir nome por não apresentar referência,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alfacetoglutarato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é sinônimo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oxoglutarato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. Index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nominum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/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Martindale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arginine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oxoglurate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Excluir nome da lista DCB.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04116.02-0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02579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bromidrato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levorfanol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Nome escrito incorretamente, o correto seria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bromidrato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racelevorfanol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(MI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levorphanol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dl-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form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hydrobromide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CAS: 5985-35-3). Como o nome correto é sinônimo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bromidrato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racemorfano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que já está na DCB, pede-se a exclusão do nome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bromidrato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levorfanol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Excluir nome da lista DCB.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04746.09-0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06098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éter metílico de morfina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Excluir o nome éter metílico de morfina, pois este com o metil na posição 3 é sinônimo de codeína. Será incluído o nome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heterocodeína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(MI 13ed.) que é sinônimo de éter 6-metílico de morfina . O nome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heterocodeína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entrará como molécula principal na lista DCB. A substância éter 3 metílico de morfina é diferente de éter 6-metílico de morfina.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Chemindustry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/MI - morphine-3-methyl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ether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(76-57-3)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Excluir nome da lista DCB.</w:t>
            </w:r>
          </w:p>
        </w:tc>
      </w:tr>
    </w:tbl>
    <w:p w:rsidR="00187241" w:rsidRPr="008B0ECE" w:rsidRDefault="00187241" w:rsidP="00187241">
      <w:pPr>
        <w:spacing w:before="150" w:after="150" w:line="240" w:lineRule="auto"/>
        <w:jc w:val="both"/>
        <w:rPr>
          <w:rFonts w:ascii="Times New Roman" w:eastAsia="Times New Roman" w:hAnsi="Times New Roman"/>
          <w:strike/>
          <w:color w:val="000000"/>
          <w:sz w:val="20"/>
          <w:szCs w:val="20"/>
          <w:lang w:eastAsia="pt-BR"/>
        </w:rPr>
      </w:pPr>
      <w:r w:rsidRPr="008B0ECE">
        <w:rPr>
          <w:rFonts w:ascii="Times New Roman" w:eastAsia="Times New Roman" w:hAnsi="Times New Roman"/>
          <w:strike/>
          <w:color w:val="000000"/>
          <w:sz w:val="20"/>
          <w:szCs w:val="20"/>
          <w:lang w:eastAsia="pt-BR"/>
        </w:rPr>
        <w:t>ANEXO 4 - CORREÇÃO DE NÚMERO CAS NA LISTA DCB 2004 PUBLICADA PELA RDC N° 111 DE 29 DE ABRIL DE 2005</w:t>
      </w:r>
    </w:p>
    <w:tbl>
      <w:tblPr>
        <w:tblW w:w="0" w:type="auto"/>
        <w:tblBorders>
          <w:top w:val="single" w:sz="6" w:space="0" w:color="808080"/>
          <w:left w:val="single" w:sz="6" w:space="0" w:color="808080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540"/>
        <w:gridCol w:w="1223"/>
        <w:gridCol w:w="728"/>
        <w:gridCol w:w="849"/>
        <w:gridCol w:w="3227"/>
        <w:gridCol w:w="2614"/>
      </w:tblGrid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Código de Posição 2004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Nº DCB 2004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DCB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Nº CAS na DCB 2004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Nº CAS na DCB 2004 corrigido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Comentário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Decisão da Subcomissão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00358.01-0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00512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alfafolitropina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9002-68-0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146479-72-3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USAN/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Martindale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follitropin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alfa (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follicle-stimulating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hormone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,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glycoform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a O CAS 9002-68-0 corresponde ao nome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menotrofinas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que é um termo aplicado a um extrato de urina pós-menopausa contendo atividades FSH e LH.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Corrigir o CAS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00383.02-3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00543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algestona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acetonida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24356-94-3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4968-09-6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Este CAS corresponde a substância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algestona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acetofenida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Corrigir o CAS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00914.01-0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01198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betafolitropina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150490-84-9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110909-60-9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USAN/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Martindale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follitropin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alfa (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follicle-stimulating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hormone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,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glycoform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ß). O CAS 150490-84-9 não é mais utilizado e foi substituído.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Corrigir o CAS para 146479-72-3. A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alfafolitropina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betafolitropina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possuem o mesmo número CAS, apresentam mesma indicação e estrutural, a única diferença entre as duas substâncias é que uma possui uma ligação alfa e a outra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01720.01-5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02185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citrato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férrico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28633-45-6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2338-05-8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Scinfinder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/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Chemindustry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ferric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citrate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Corrigir o CAS.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02005.01-8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02545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codeína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6059-47-8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76-57-3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MI 13ed.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codeine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Corrigir o CAS.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01268.02-3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01615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hemissuccinato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butoctamida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32838-26-9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32838-28-1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Chemindustry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butoctamide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hydrogen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succinate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Corrigir o CAS.</w:t>
            </w:r>
          </w:p>
        </w:tc>
      </w:tr>
    </w:tbl>
    <w:p w:rsidR="00187241" w:rsidRPr="008B0ECE" w:rsidRDefault="00187241" w:rsidP="00187241">
      <w:pPr>
        <w:spacing w:before="150" w:after="150" w:line="240" w:lineRule="auto"/>
        <w:jc w:val="both"/>
        <w:rPr>
          <w:rFonts w:ascii="Times New Roman" w:eastAsia="Times New Roman" w:hAnsi="Times New Roman"/>
          <w:strike/>
          <w:color w:val="000000"/>
          <w:sz w:val="20"/>
          <w:szCs w:val="20"/>
          <w:lang w:eastAsia="pt-BR"/>
        </w:rPr>
      </w:pPr>
      <w:r w:rsidRPr="008B0ECE">
        <w:rPr>
          <w:rFonts w:ascii="Times New Roman" w:eastAsia="Times New Roman" w:hAnsi="Times New Roman"/>
          <w:strike/>
          <w:color w:val="000000"/>
          <w:sz w:val="20"/>
          <w:szCs w:val="20"/>
          <w:lang w:eastAsia="pt-BR"/>
        </w:rPr>
        <w:t>ANEXO 5 - INCLUSÕES DE NÚMERO CAS OU REFERÊNCIAS BIBLIOGRÁFICAS NA LISTA DCB 2004 PUBLICADA PELA RDC N° 111 DE 29 DE ABRIL DE 2005</w:t>
      </w:r>
    </w:p>
    <w:tbl>
      <w:tblPr>
        <w:tblW w:w="0" w:type="auto"/>
        <w:tblBorders>
          <w:top w:val="single" w:sz="6" w:space="0" w:color="808080"/>
          <w:left w:val="single" w:sz="6" w:space="0" w:color="808080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"/>
        <w:gridCol w:w="1645"/>
        <w:gridCol w:w="6169"/>
        <w:gridCol w:w="903"/>
        <w:gridCol w:w="735"/>
      </w:tblGrid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N° DCB 2004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Substância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Referência bibliográfica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CAS/Ref. a ser incluído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Decisão da SDCB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04196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acetato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fluprednisolona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MI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fluprednisolone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, 21-acetate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[Ref.3]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Ok incluir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05760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acetato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metcefamida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USAN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metkephamid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(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metkefamide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)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acetate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66960-35-8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Ok incluir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00087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acetato de sódio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USAN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sodium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acetate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127-09-3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Ok incluir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acetato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dextroalfatocoferol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Martindale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- d-alpha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tocopheryl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acetate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58-95-7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 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00094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acexamato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cálcio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Martindale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calcium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acexamate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[Ref.4]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Ok incluir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00095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acexamato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sódio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Index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nominum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acexamic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acid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,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sodium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salt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7234-48-2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Ok incluir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00739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ampicilina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benzatina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Martindale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/Substâncias Farmacêuticas Comerciais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ampicillin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benzathine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33276-75-4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Ok incluir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00740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ampicilina potássica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Chemfinder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ampicillin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potassium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23277-71-6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Ok incluir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00784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anfomicina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cálcica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Martindale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/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Chemfinder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/Substâncias Farmacêuticas Comerciais/MI 13ed.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amphomy-cin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calcium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salt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1405-31-8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Ok incluir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01099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bendazaco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sódico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Chemfinder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bendazac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sodium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salt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23255-99-4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Ok incluir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08449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benzoato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testosterona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Chemfinder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testosterone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benzoate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2088-71-3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Ok incluir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03598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betacipionato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estradiol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Chemfinder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- estradiol 17- beta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cypionate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313-06-4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Ok incluir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02879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bitartarato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dextromoramida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Chemfinder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dextromoramide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bitartrate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2922-44-3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Ok incluir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03113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bromidrato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dipipanona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MI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dipipanone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hydrobromide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[Ref.3]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Ok incluir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03973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bromidrato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fenomorfano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MI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phenomorphan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hydrobromide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[Ref.3]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Ok incluir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05286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bromidrato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levorfanol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MI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levorphanol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dl-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form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hydrobromide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5985-35-3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Ok incluir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01614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butoctamida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Substâncias Farmacêuticas Comerciais/MI 13ed.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butoctamide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32838-26-9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Ok incluir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02338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cinamato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cloranfenicol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Substâncias Farmacêuticas Comerciais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chloranphenicol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cinnamate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14399-14-5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Ok incluir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00778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citrato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anfetamina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Substâncias Farmacêuticas Comerciais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anfetamine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citrate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74664-43-0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Ok incluir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02182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citrato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sódio anidro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Substâncias Farmacêuticas Comerciais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sodium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citrate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anhydrous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68-04-2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Ok incluir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02183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citrato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sódio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diidratado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Substâncias Farmacêuticas Comerciais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sodium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citrate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dihydrate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6132-04-3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Ok incluir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00073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cloridrato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acetilmetadol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Substâncias Farmacêuticas Comerciais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acetylmethadol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hydrochlride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43033-72-3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Ok incluir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01227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cloridrato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betaprodina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Substâncias Farmacêuticas Comerciais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betaprodine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hydrochloride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49638-23-5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Ok incluir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01662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cloridrato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cambendazol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Substâncias Farmacêuticas Comerciais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cambendazole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hydrochloride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76345-76-1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Ok incluir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02441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cloridrato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clorfenamina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Substâncias Farmacêuticas Comerciais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chlorphenamine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hydrochloride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132-22-9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Ok incluir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02877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cloridrato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dextrometorfano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Substâncias Farmacêuticas Comerciais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dextromethorphan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hydrochloride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18609-21-7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Ok incluir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03481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cloridrato de ergometrina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Substâncias Farmacêuticas Comerciais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ergometrine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hydrochloride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74283-21-9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Ok incluir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03874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cloridrato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fenazocina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Substâncias Farmacêuticas Comerciais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phenazocine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hydrochloride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7303-75-5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Ok incluir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05216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cloridrato de leucina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Substâncias Farmacêuticas Comerciais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leucine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hydrochloride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760-84-9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Ok incluir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05252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cloridrato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levofacetoperano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Substâncias Farmacêuticas Comerciais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levofacetoperane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hydrochloride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23257-56-9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Ok incluir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05282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cloridrato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levopropilexedrina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Substâncias Farmacêuticas Comerciais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levopropylhexedrine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hydrochloride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6192-98-9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Ok incluir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06521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cloridrato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norpipanona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Substâncias Farmacêuticas Comerciais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norpipanone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hydrochloride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6033-41-6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Ok incluir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07397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cloridrato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proclorperazina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Substâncias Farmacêuticas Comerciais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prochlorperazine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hydrochloride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74525-44-3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Ok incluir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00833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diacetato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apomorfina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Substâncias Farmacêuticas Comerciais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apomorphine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diacetate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6191-56-6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Ok incluir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03025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diidrogesterona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Substâncias Farmacêuticas Comerciais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dihydrogesterone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152-62-5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Ok incluir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01689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dissulfato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capreomicina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Substâncias Farmacêuticas Comerciais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capreomycin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disulfate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1405-36-3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Ok incluir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00170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edetato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potássio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Substâncias Farmacêuticas Comerciais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edetate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dipotassium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25102-12-9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Ok incluir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03895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embonato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fendimetrazina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Substâncias Farmacêuticas Comerciais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phendimetrazine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embonate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27922-80-1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Ok incluir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03604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fempropionato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estradiol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Substâncias Farmacêuticas Comerciais - estradiol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phenpropionate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26443-03-8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Ok incluir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00189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fitato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cálcio e magnésio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Substâncias Farmacêuticas Comerciais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calcium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magnesium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phytate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3615-82-5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Ok incluir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08477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fosfato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tetramisol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Substâncias Farmacêuticas Comerciais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tetramisole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phosphate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75656-48-3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Ok incluir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00817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mesilato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antazolina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Substâncias Farmacêuticas Comerciais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antazoline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mesilate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3131-32-6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Ok incluir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08526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palmitato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tianfenicol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Substâncias Farmacêuticas Comerciais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thiamphenicol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palmitate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52628-58-7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Ok incluir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02341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pantotenato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cloranfenicol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Substâncias Farmacêuticas Comerciais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chloramphenicol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pantothenate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52993-97-2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Ok incluir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00318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pantotenato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sódio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Substâncias Farmacêuticas Comerciais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sodium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panthothenate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867-81-2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Ok incluir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02825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pivalato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dexametasona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Substâncias Farmacêuticas Comerciais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dexamethasone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pivalate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1926-94-9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Ok incluir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08399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salicilato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cálcico de teofilina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Substâncias Farmacêuticas Comerciais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theophylline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salicylate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calcium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37287-41-5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Ok incluir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00343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salicilato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fenila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Substâncias Farmacêuticas Comerciais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phenyl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salicylate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118-55-8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Ok incluir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04246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tartarato de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folcodina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Substâncias Farmacêuticas Comerciais -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phocoldine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tartrate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7369-11-1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Ok incluir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09029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vacina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anticatarral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Martindale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- vacina catarral (Berna, Portugal, não mais produzida).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Pneumococci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;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Staphylococcus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aureus;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Staphylococcus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albuns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;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streptococci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;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Klebsiella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pneumoniae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;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Moraxella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catarrhalis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;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Haemophillus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influenza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[Ref.4]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Ok incluir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09030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vacina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anticatarral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+ vacina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antipiogênica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Martindale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- vacina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antipiogênica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(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Sanus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, Brasil).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Streptococcus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pyogenes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;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Streptococcus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pneumoniae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;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Staphylococcus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aureus;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Pseudomonas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aeruginosa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; Escherichia coli.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Martindale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- vacina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antipneumocatarral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(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Sanus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, Brasil).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Streptococcus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pyogenes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;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Streptococcus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pneumoniae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;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Haemophillus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influenza;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Moraxella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catarrhalis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[Ref.4]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Ok incluir</w:t>
            </w:r>
          </w:p>
        </w:tc>
      </w:tr>
      <w:tr w:rsidR="00187241" w:rsidRPr="008B0ECE" w:rsidTr="001872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09059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vacina contra tuberculose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Martindale</w:t>
            </w:r>
            <w:proofErr w:type="spellEnd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 xml:space="preserve"> - BCG </w:t>
            </w:r>
            <w:proofErr w:type="spellStart"/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vaccine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[Ref.4]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87241" w:rsidRPr="008B0ECE" w:rsidRDefault="00187241" w:rsidP="0018724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</w:pPr>
            <w:r w:rsidRPr="008B0ECE">
              <w:rPr>
                <w:rFonts w:ascii="Times New Roman" w:eastAsia="Times New Roman" w:hAnsi="Times New Roman"/>
                <w:strike/>
                <w:sz w:val="17"/>
                <w:szCs w:val="17"/>
                <w:lang w:eastAsia="pt-BR"/>
              </w:rPr>
              <w:t>Ok incluir</w:t>
            </w:r>
          </w:p>
        </w:tc>
      </w:tr>
    </w:tbl>
    <w:p w:rsidR="00187241" w:rsidRPr="008B0ECE" w:rsidRDefault="00187241" w:rsidP="00187241">
      <w:pPr>
        <w:jc w:val="both"/>
        <w:rPr>
          <w:rFonts w:ascii="Times New Roman" w:hAnsi="Times New Roman"/>
          <w:strike/>
        </w:rPr>
      </w:pPr>
    </w:p>
    <w:p w:rsidR="00187241" w:rsidRPr="008B0ECE" w:rsidRDefault="008B0ECE" w:rsidP="00187241">
      <w:pPr>
        <w:jc w:val="both"/>
        <w:rPr>
          <w:rFonts w:ascii="Times New Roman" w:hAnsi="Times New Roman"/>
          <w:strike/>
        </w:rPr>
      </w:pPr>
      <w:r w:rsidRPr="008B0ECE">
        <w:rPr>
          <w:rFonts w:ascii="Times New Roman" w:hAnsi="Times New Roman"/>
          <w:strike/>
        </w:rPr>
        <w:t>(*)</w:t>
      </w:r>
      <w:r w:rsidRPr="008B0ECE">
        <w:rPr>
          <w:rFonts w:ascii="Times New Roman" w:hAnsi="Times New Roman"/>
          <w:b/>
          <w:strike/>
          <w:sz w:val="20"/>
        </w:rPr>
        <w:t>Republicado por ter saído com incorreção no original, publicado no Diário Oficial da União n° 186, Seção I, Página 54, de 27 de setembro de 2005.</w:t>
      </w:r>
    </w:p>
    <w:sectPr w:rsidR="00187241" w:rsidRPr="008B0ECE" w:rsidSect="00F75D18">
      <w:headerReference w:type="default" r:id="rId10"/>
      <w:footerReference w:type="default" r:id="rId11"/>
      <w:pgSz w:w="11906" w:h="16838"/>
      <w:pgMar w:top="1440" w:right="849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5F13" w:rsidRDefault="00605F13" w:rsidP="008B0ECE">
      <w:pPr>
        <w:spacing w:after="0" w:line="240" w:lineRule="auto"/>
      </w:pPr>
      <w:r>
        <w:separator/>
      </w:r>
    </w:p>
  </w:endnote>
  <w:endnote w:type="continuationSeparator" w:id="0">
    <w:p w:rsidR="00605F13" w:rsidRDefault="00605F13" w:rsidP="008B0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0ECE" w:rsidRPr="000B4C52" w:rsidRDefault="008B0ECE" w:rsidP="008B0ECE">
    <w:pPr>
      <w:tabs>
        <w:tab w:val="center" w:pos="4252"/>
        <w:tab w:val="right" w:pos="8504"/>
      </w:tabs>
      <w:jc w:val="center"/>
    </w:pPr>
    <w:r w:rsidRPr="000B4C52">
      <w:rPr>
        <w:color w:val="943634"/>
      </w:rPr>
      <w:t>Este texto não substitui o(s) publicado(s) em Diário Oficial da União.</w:t>
    </w:r>
  </w:p>
  <w:p w:rsidR="008B0ECE" w:rsidRDefault="008B0EC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5F13" w:rsidRDefault="00605F13" w:rsidP="008B0ECE">
      <w:pPr>
        <w:spacing w:after="0" w:line="240" w:lineRule="auto"/>
      </w:pPr>
      <w:r>
        <w:separator/>
      </w:r>
    </w:p>
  </w:footnote>
  <w:footnote w:type="continuationSeparator" w:id="0">
    <w:p w:rsidR="00605F13" w:rsidRDefault="00605F13" w:rsidP="008B0E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0ECE" w:rsidRPr="000B4C52" w:rsidRDefault="008B0ECE" w:rsidP="008B0ECE">
    <w:pPr>
      <w:pStyle w:val="Cabealho"/>
      <w:jc w:val="center"/>
    </w:pPr>
    <w:r w:rsidRPr="00727DA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5" type="#_x0000_t75" alt="Brasão da República" style="width:52.5pt;height:51.75pt;visibility:visible">
          <v:imagedata r:id="rId1" o:title="Brasão da República"/>
        </v:shape>
      </w:pict>
    </w:r>
  </w:p>
  <w:p w:rsidR="008B0ECE" w:rsidRPr="000B4C52" w:rsidRDefault="008B0ECE" w:rsidP="008B0ECE">
    <w:pPr>
      <w:pStyle w:val="Cabealho"/>
      <w:jc w:val="center"/>
      <w:rPr>
        <w:b/>
      </w:rPr>
    </w:pPr>
    <w:r w:rsidRPr="000B4C52">
      <w:rPr>
        <w:b/>
      </w:rPr>
      <w:t>Ministério da Saúde - MS</w:t>
    </w:r>
  </w:p>
  <w:p w:rsidR="008B0ECE" w:rsidRPr="000B4C52" w:rsidRDefault="008B0ECE" w:rsidP="008B0ECE">
    <w:pPr>
      <w:pStyle w:val="Cabealho"/>
      <w:jc w:val="center"/>
      <w:rPr>
        <w:b/>
      </w:rPr>
    </w:pPr>
    <w:r w:rsidRPr="000B4C52">
      <w:rPr>
        <w:b/>
      </w:rPr>
      <w:t>Agência Nacional de Vigilância Sanitária - ANVISA</w:t>
    </w:r>
  </w:p>
  <w:p w:rsidR="008B0ECE" w:rsidRDefault="008B0EC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A6AB2"/>
    <w:multiLevelType w:val="multilevel"/>
    <w:tmpl w:val="DBD4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D24ECB"/>
    <w:multiLevelType w:val="multilevel"/>
    <w:tmpl w:val="E98EA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7241"/>
    <w:rsid w:val="00187241"/>
    <w:rsid w:val="00605F13"/>
    <w:rsid w:val="006A7430"/>
    <w:rsid w:val="008B0ECE"/>
    <w:rsid w:val="00D23141"/>
    <w:rsid w:val="00F25BA2"/>
    <w:rsid w:val="00F7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4C89F5CD-0AA3-45CB-986D-4E83270EE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link w:val="Ttulo1Char"/>
    <w:uiPriority w:val="9"/>
    <w:qFormat/>
    <w:rsid w:val="001872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872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18724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link w:val="Ttulo2"/>
    <w:uiPriority w:val="9"/>
    <w:rsid w:val="001872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numbering" w:customStyle="1" w:styleId="Semlista1">
    <w:name w:val="Sem lista1"/>
    <w:next w:val="Semlista"/>
    <w:uiPriority w:val="99"/>
    <w:semiHidden/>
    <w:unhideWhenUsed/>
    <w:rsid w:val="00187241"/>
  </w:style>
  <w:style w:type="paragraph" w:customStyle="1" w:styleId="msonormal0">
    <w:name w:val="msonormal"/>
    <w:basedOn w:val="Normal"/>
    <w:rsid w:val="0018724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Hyperlink">
    <w:name w:val="Hyperlink"/>
    <w:uiPriority w:val="99"/>
    <w:semiHidden/>
    <w:unhideWhenUsed/>
    <w:rsid w:val="00187241"/>
    <w:rPr>
      <w:color w:val="0000FF"/>
      <w:u w:val="single"/>
    </w:rPr>
  </w:style>
  <w:style w:type="character" w:styleId="HiperlinkVisitado">
    <w:name w:val="FollowedHyperlink"/>
    <w:uiPriority w:val="99"/>
    <w:semiHidden/>
    <w:unhideWhenUsed/>
    <w:rsid w:val="00187241"/>
    <w:rPr>
      <w:color w:val="800080"/>
      <w:u w:val="single"/>
    </w:rPr>
  </w:style>
  <w:style w:type="character" w:styleId="Forte">
    <w:name w:val="Strong"/>
    <w:uiPriority w:val="22"/>
    <w:qFormat/>
    <w:rsid w:val="0018724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8724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8B0E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0ECE"/>
  </w:style>
  <w:style w:type="paragraph" w:styleId="Rodap">
    <w:name w:val="footer"/>
    <w:basedOn w:val="Normal"/>
    <w:link w:val="RodapChar"/>
    <w:uiPriority w:val="99"/>
    <w:unhideWhenUsed/>
    <w:rsid w:val="008B0E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0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0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0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5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88575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5549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46936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04558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0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6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7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125875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81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5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8" ma:contentTypeDescription="Crie um novo documento." ma:contentTypeScope="" ma:versionID="15e88a62b6151d358ade0a4075ce8b1a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204462f597e9aff2971e68715867fb16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C11375-E109-46A3-9BAB-274BD9ABB6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58cef2-5e33-4382-9f34-ebdf29ebf261"/>
    <ds:schemaRef ds:uri="1b481078-05fd-4425-adfc-5f858dcaa1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952403-11F9-417A-97AE-F41A998B76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0BE104-738A-43AF-A0A6-76D602EB07A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5056</Words>
  <Characters>27304</Characters>
  <Application>Microsoft Office Word</Application>
  <DocSecurity>0</DocSecurity>
  <Lines>227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Jussara de Araujo Ferreira</dc:creator>
  <cp:keywords/>
  <dc:description/>
  <cp:lastModifiedBy>Julia de Souza Ferreira</cp:lastModifiedBy>
  <cp:revision>2</cp:revision>
  <dcterms:created xsi:type="dcterms:W3CDTF">2018-11-27T16:37:00Z</dcterms:created>
  <dcterms:modified xsi:type="dcterms:W3CDTF">2018-11-27T16:37:00Z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