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A14BDD" w:rsidRDefault="00A14BDD" w:rsidP="00A14BD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A14BDD">
        <w:rPr>
          <w:rFonts w:ascii="Times New Roman" w:hAnsi="Times New Roman" w:cs="Times New Roman"/>
          <w:b/>
          <w:szCs w:val="24"/>
        </w:rPr>
        <w:t xml:space="preserve">RESOLUÇÃO DA DIRETORIA COLEGIADA – RDC Nº 298, DE </w:t>
      </w:r>
      <w:r w:rsidR="00E80229" w:rsidRPr="00A14BDD">
        <w:rPr>
          <w:rFonts w:ascii="Times New Roman" w:hAnsi="Times New Roman" w:cs="Times New Roman"/>
          <w:b/>
          <w:szCs w:val="24"/>
        </w:rPr>
        <w:t>6 DE NOVEMBRO DE 2002</w:t>
      </w:r>
    </w:p>
    <w:p w:rsidR="00E80229" w:rsidRPr="00A14BDD" w:rsidRDefault="00A14BDD" w:rsidP="00E8022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216, de </w:t>
      </w:r>
      <w:r w:rsidR="00E80229" w:rsidRPr="00A14BDD">
        <w:rPr>
          <w:rFonts w:ascii="Times New Roman" w:hAnsi="Times New Roman" w:cs="Times New Roman"/>
          <w:b/>
          <w:color w:val="0000FF"/>
          <w:sz w:val="24"/>
          <w:szCs w:val="24"/>
        </w:rPr>
        <w:t>7 de novembro de 2002)</w:t>
      </w:r>
    </w:p>
    <w:p w:rsidR="00CA64E1" w:rsidRPr="00A14BDD" w:rsidRDefault="00CA64E1" w:rsidP="00E8022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14BDD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 w:rsidR="00A14BDD">
        <w:rPr>
          <w:rFonts w:ascii="Times New Roman" w:hAnsi="Times New Roman" w:cs="Times New Roman"/>
          <w:b/>
          <w:color w:val="0000FF"/>
          <w:sz w:val="24"/>
          <w:szCs w:val="24"/>
        </w:rPr>
        <w:t>ela Resolução – RD</w:t>
      </w:r>
      <w:bookmarkStart w:id="0" w:name="_GoBack"/>
      <w:bookmarkEnd w:id="0"/>
      <w:r w:rsidR="00A14BD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 nº 238, de </w:t>
      </w:r>
      <w:r w:rsidRPr="00A14BDD">
        <w:rPr>
          <w:rFonts w:ascii="Times New Roman" w:hAnsi="Times New Roman" w:cs="Times New Roman"/>
          <w:b/>
          <w:color w:val="0000FF"/>
          <w:sz w:val="24"/>
          <w:szCs w:val="24"/>
        </w:rPr>
        <w:t>5 de setembro de 2003)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14BDD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</w:t>
      </w: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11 inciso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IV do Regulamento da ANVISA aprovado pelo Decreto 3.029, de 16 de abril de 1999, c/c o § 1º do Art. 111 do Regimento Interno aprovado pela Portaria nº 593, de 25 de agosto de 2000, republicada no DOU de 22 de dezembro de 2000, em reunião realizada em 5 de novembro de 2002;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a relevância das ações de saúde, no âmbito do poder fiscalizador do Estado, visando promover e assegurar a saúde pública nos termos da Constituição Federal, consolidada no art. 8º e no art. 41 da Lei n.º 9.782, de 26 de janeiro de 1999;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 disposto no artículos 6º e 7º da Lei n.º 6.360, de 23 de setembro de 1976, que submete produtos e serviços ao regime de vigilância sanitária;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 contido no art. 8º do Decreto n.º 79.094, de 5 de janeiro de 1977, que regulamenta a Lei n.º 6.360, de 1976;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os dados do Centro Brasileiro de Informações de Medicamentos que registra que desde 1985, foram relatados espontaneamente casos de Síndrome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Guillan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Barré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(SGB) na Alemanha, Itália e Espanha;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a recomendação do “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Committee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for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Proprietary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Medicinal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Products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(CPMP)”, para a suspensão, como medida de precaução, da licença de mercado para todas as associações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e a suspensão de autorização e comercialização para o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monossialogangliosídeo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até finalização da avaliação em desenvolvimento por esse comitê;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que desde o seu registro no Brasil, em 1979, 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gangliosideos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são fabricados e comercializados, utilizando matéria prima importada;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que as empresas importadoras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gangliosideos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vem apresentando certificados comprobatórios da origem da matéria prima;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que a Agência Nacional de Vigilância Sanitária - ANVISA dispõe de planos de trabalhos em operação ou em fase implementação pela Unidade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- UFARM, que contemplam, entre outro: a notificação de suspeita de reações adversas a medicamentos, análise de segurança de medicamentos a partir de queixas técnicas, uso seguro e vigilância de medicamento em hospitais e reavaliação da relação beneficio/risco de medicamentos comercializados;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lastRenderedPageBreak/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que os planos de trabalho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da ANVISA estabelecem que para medicamentos de uso ambulatorial a UFARM contará com redes de profissionais NOTIFICADORES ATIVOS, a fim de identificar, precocemente, problemas de segurança e efetividade;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a decisão judicial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nºs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486/2001 e 75/2002 da 22ª Vara Judiciária - Seção Judiciária do Distrito Federal, de manter no mercado brasileiro os produtos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Sygem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Sinixial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ambos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gangliosideos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os termos da decisão proferida nos autos de Agravo de Instrumento 20002.01.0030144-0, publicado no Diário Oficial da Justiça de 24 se setembro de 2002;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 interesse público de manter a segurança dos usuários de medicamentos, bem como a necessidade de confirmação da efetividade e fixação da relação beneficio/risco dos produtos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>Adotou a seguinte Resolução e eu, Diretor-Presidente, determino a sua publicação: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Art.1º A importação das matérias primas, a fabricação, a distribuição, a comercialização, a prescrição médica e a aplicação dos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serão totalmente controlados pela ANVISA, na forma prevista nesta Resolução.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2º O importador das matérias primas a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que deve ser o detentor de registro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deve solicitar autorização previa da Licença de Importação (L.I) à ANVISA. A matéria prima a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deve cumprir com os requerimentos da Resolução RDC nº 118/2001 ou suas posteriores atualizações.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Parágrafo único. Para que a área técnica da ANVISA (Unidade de Produtos Biológicos 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Hemoterápicos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- UPBIH) aprove a L.I, é necessário que o solicitante apresente (protocole) os seguintes documentos relativos aos lotes de matéria prima a serem importados: a) Certificado de origem e liberação do tecido nervoso, utilizado como matéria prima, b) Protocolo de produção do lote dos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emitido pelo fabricante e c) Protocolo de controle de qualidade e Certificado de liberação do lote de matérias primas para produzir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3º O fabricante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deve enviar mensalmente (até o dia 30 do mês seguinte) à UPBIH da ANVISA, as seguintes informações: a) números dos lotes do medicamento produzidos com cada lote de matéria prima importada, b) quantidades de unidades produzidas em cada lote, c) apresentação de cada lote e d) rendimento de cada lote de matéria prima e explicação da perda ocorrida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O fabricante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deve enviar mensalmente (até o dia 30 (trinta) do mês seguinte) à UPBIH da ANVISA, o Relatório de Distribuição dos lotes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5º A empresa detentora do registro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gangliosideos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deve, no prazo máximo de 90 (noventa) dias após a publicação da presente Resolução, incluir nas bulas do produto as seguintes advertências: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a) “Medicamento a base de tecido nervoso que pode desencadear a Síndrome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Guillan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Barre (</w:t>
      </w: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SGB)”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b) “Medicamento a base de tecido nervoso bovino. Os tecidos bovinos estão associados à aparição da Encefalite Espongiforme Bovina, variável humana”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6º Os médicos responsáveis pelo tratamento devem prescrever 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no receituário branco em duas vias (retenção de receita) de forma clara, legível e sem rasuras, classificando o diagnóstico conforme Classificação Estatística Internacional de Doença e Problemas Relacionados à Saúde (CID10).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7º 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passam a fazer parte da Lista “C1”, Outras Substâncias sujeitas a Controle Especial do Anexo I da Portaria SVS/MS nº 344, de 12 de maio de 1998, republicada no Diário Oficial da União de 1º de fevereiro de 1999, portanto, devem ser dispensados somente com a retenção da receita nos pontos de venda.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Parágrafo único. As empresas detentoras do registro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ficam isentas do cumprimento das exigências estabelecidas na Portaria SVS/MS nº 344 de 12 de maio de 1998, no referente à Autorização Especial de Funcionamento, ficando as farmácias, distribuidores 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prescritores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sujeitos aos referidos controles e ainda àqueles especificamente determinados nesta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Resolu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ção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8º As Farmácias ou Drogarias que comercializem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, devem enviar trimestralmente, por via eletrônica, obrigatoriamente, (na primeira semana do trimestre seguinte) à UPBIH da ANVISA, o Balanço do Medicamento, Princípios Ativos e Outras Substâncias sujeitas a Controle Especial (BMPO) dos referidos medicamentos, devendo manter as receitas retidas e disponíveis para eventuais solicitações da ANVISA.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9º O monitoramento da utilização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será realizado através da rede de profissionais NOTIFICADORES ATIVOS, intitulados “Médicos Sentinelas”, que serão recrutados pela UFARM da ANVISA entre os médicos que prescrevem os referidos medicamentos.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10 Os médicos sentinelas serão responsáveis pela notificação para a UFARM da ANVISA, de qualquer evento adverso clínico ou laboratorial, falha terapêutica ou reação adversa aos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gangliosideos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11 A ANVISA a cada 6 (seis) meses, sob coordenação da UPBIH, realizará uma reunião com especialistas (grupo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Ad-doc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), com a participação de técnicos da indústria detentora do registro do medicamento, para avaliar a segurança e efetividade clinica dos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§1º A ANVISA previamente à realização das reuniões supracitadas, informará aos especialistas e representantes da indústria detentora de registro de medicamentos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os dados e elementos reunidos sobre o assunto.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>§ 2º O estudo de segurança e efetividade clínica terá duração de 3 (três) anos e utilizará como base para sua avaliação final: a</w:t>
      </w: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) As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notificações da rede de médicos sentinelas, b) Os relatórios semestrais emitidos pelos grupo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Ad-doc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; c) As pesquisas clínicas e epidemiológicas, nacionais ou internacionais, que vieram a ser realizadas com esta finalidade.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>§ 3º Após este período, se os medicamentos tiverem demonstrado segurança e efetividade clínica, serão liberados das exigências desta Resolução, caso contrario, os Registros dos produtos serão cancelados.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Art. 12 Fica proibida a manipulação de fórmulas magistrais à base de </w:t>
      </w:r>
      <w:proofErr w:type="spellStart"/>
      <w:r w:rsidRPr="00A14BDD">
        <w:rPr>
          <w:rFonts w:ascii="Times New Roman" w:hAnsi="Times New Roman" w:cs="Times New Roman"/>
          <w:strike/>
          <w:sz w:val="24"/>
          <w:szCs w:val="24"/>
        </w:rPr>
        <w:t>Gangliosídeos</w:t>
      </w:r>
      <w:proofErr w:type="spell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13 A inobservância dos preceitos desta Resolução configura infração sanitária, ficando o infrator sujeito às penalidades previstas na legislação vigente.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14 Ficam revogadas as Resoluções RE nº 527, publicada no DOU do 17 de abril de 2001, a RE </w:t>
      </w:r>
      <w:proofErr w:type="gramStart"/>
      <w:r w:rsidRPr="00A14BDD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 2, publicada no DOU de 5 março de 2002, a RDC nº 198, publicada no DOU do 16 de julho de 2002 e a RDC nº 278, publicada no DOU de 25 de outubro de 2002. </w:t>
      </w:r>
    </w:p>
    <w:p w:rsidR="00D06601" w:rsidRPr="00A14BDD" w:rsidRDefault="00D06601" w:rsidP="00D066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 xml:space="preserve">Art. 15 Esta resolução passa a vigorar a partir da data de sua publicação. </w:t>
      </w:r>
    </w:p>
    <w:p w:rsidR="00A14BDD" w:rsidRDefault="00A14BDD" w:rsidP="00A14BDD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D06601" w:rsidRPr="00A14BDD" w:rsidRDefault="00D06601" w:rsidP="00A14BD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A14BDD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D06601" w:rsidRPr="00A14BD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BDD" w:rsidRDefault="00A14BDD" w:rsidP="00A14BDD">
      <w:pPr>
        <w:spacing w:after="0" w:line="240" w:lineRule="auto"/>
      </w:pPr>
      <w:r>
        <w:separator/>
      </w:r>
    </w:p>
  </w:endnote>
  <w:endnote w:type="continuationSeparator" w:id="0">
    <w:p w:rsidR="00A14BDD" w:rsidRDefault="00A14BDD" w:rsidP="00A1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DD" w:rsidRPr="00A14BDD" w:rsidRDefault="00A14BDD" w:rsidP="00A14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BDD" w:rsidRDefault="00A14BDD" w:rsidP="00A14BDD">
      <w:pPr>
        <w:spacing w:after="0" w:line="240" w:lineRule="auto"/>
      </w:pPr>
      <w:r>
        <w:separator/>
      </w:r>
    </w:p>
  </w:footnote>
  <w:footnote w:type="continuationSeparator" w:id="0">
    <w:p w:rsidR="00A14BDD" w:rsidRDefault="00A14BDD" w:rsidP="00A1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DD" w:rsidRPr="00B517AC" w:rsidRDefault="00A14BDD" w:rsidP="00A14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8C11C19" wp14:editId="035FC50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4BDD" w:rsidRPr="00B517AC" w:rsidRDefault="00A14BDD" w:rsidP="00A14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14BDD" w:rsidRPr="00B517AC" w:rsidRDefault="00A14BDD" w:rsidP="00A14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14BDD" w:rsidRDefault="00A14B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9"/>
    <w:rsid w:val="001E708B"/>
    <w:rsid w:val="0035412E"/>
    <w:rsid w:val="007441BF"/>
    <w:rsid w:val="00786686"/>
    <w:rsid w:val="008C3A7D"/>
    <w:rsid w:val="00A14BDD"/>
    <w:rsid w:val="00B30817"/>
    <w:rsid w:val="00CA64E1"/>
    <w:rsid w:val="00D06601"/>
    <w:rsid w:val="00D621E1"/>
    <w:rsid w:val="00E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0CB04"/>
  <w15:docId w15:val="{704773F5-5C9F-4076-91E5-3E90B146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BDD"/>
  </w:style>
  <w:style w:type="paragraph" w:styleId="Rodap">
    <w:name w:val="footer"/>
    <w:basedOn w:val="Normal"/>
    <w:link w:val="RodapChar"/>
    <w:uiPriority w:val="99"/>
    <w:unhideWhenUsed/>
    <w:rsid w:val="00A1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92995-A725-4F56-99B6-1A00546EAB1E}"/>
</file>

<file path=customXml/itemProps2.xml><?xml version="1.0" encoding="utf-8"?>
<ds:datastoreItem xmlns:ds="http://schemas.openxmlformats.org/officeDocument/2006/customXml" ds:itemID="{32AF5CBA-97D3-4CF4-91A4-0917B9D89A89}"/>
</file>

<file path=customXml/itemProps3.xml><?xml version="1.0" encoding="utf-8"?>
<ds:datastoreItem xmlns:ds="http://schemas.openxmlformats.org/officeDocument/2006/customXml" ds:itemID="{78967FB8-4C2D-496E-829D-EDF25639AB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2015-09-25T15:37:00Z</dcterms:created>
  <dcterms:modified xsi:type="dcterms:W3CDTF">2017-05-29T14:51:00Z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