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33B" w:rsidRDefault="005232D0" w:rsidP="00B4533B">
      <w:pPr>
        <w:pStyle w:val="Ttulo1"/>
        <w:keepNext w:val="0"/>
        <w:keepLines w:val="0"/>
        <w:widowControl w:val="0"/>
        <w:spacing w:before="0" w:after="200"/>
        <w:ind w:left="-567" w:right="-568"/>
        <w:jc w:val="center"/>
        <w:rPr>
          <w:rFonts w:ascii="Times New Roman" w:hAnsi="Times New Roman"/>
          <w:color w:val="auto"/>
          <w:sz w:val="24"/>
          <w:szCs w:val="24"/>
          <w:lang w:eastAsia="x-none"/>
        </w:rPr>
      </w:pPr>
      <w:bookmarkStart w:id="0" w:name="_GoBack"/>
      <w:bookmarkEnd w:id="0"/>
      <w:r w:rsidRPr="00B4533B">
        <w:rPr>
          <w:rFonts w:ascii="Times New Roman" w:hAnsi="Times New Roman"/>
          <w:color w:val="auto"/>
          <w:sz w:val="24"/>
          <w:szCs w:val="24"/>
        </w:rPr>
        <w:t>RESOLUÇÃO DA DIRETORIA COLEGIADA</w:t>
      </w:r>
      <w:r w:rsidR="00B4533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03AB" w:rsidRPr="00B4533B">
        <w:rPr>
          <w:rFonts w:ascii="Times New Roman" w:hAnsi="Times New Roman"/>
          <w:color w:val="auto"/>
          <w:sz w:val="24"/>
          <w:szCs w:val="24"/>
          <w:lang w:eastAsia="x-none"/>
        </w:rPr>
        <w:t>-</w:t>
      </w:r>
      <w:r w:rsidR="00B4533B">
        <w:rPr>
          <w:rFonts w:ascii="Times New Roman" w:hAnsi="Times New Roman"/>
          <w:color w:val="auto"/>
          <w:sz w:val="24"/>
          <w:szCs w:val="24"/>
          <w:lang w:eastAsia="x-none"/>
        </w:rPr>
        <w:t xml:space="preserve"> </w:t>
      </w:r>
      <w:r w:rsidR="007903AB" w:rsidRPr="00B4533B">
        <w:rPr>
          <w:rFonts w:ascii="Times New Roman" w:hAnsi="Times New Roman"/>
          <w:color w:val="auto"/>
          <w:sz w:val="24"/>
          <w:szCs w:val="24"/>
          <w:lang w:eastAsia="x-none"/>
        </w:rPr>
        <w:t>RDC</w:t>
      </w:r>
      <w:r w:rsidRPr="00B4533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4533B">
        <w:rPr>
          <w:rFonts w:ascii="Times New Roman" w:hAnsi="Times New Roman"/>
          <w:color w:val="auto"/>
          <w:sz w:val="24"/>
          <w:szCs w:val="24"/>
          <w:lang w:eastAsia="x-none"/>
        </w:rPr>
        <w:t>Nº</w:t>
      </w:r>
      <w:r w:rsidR="007903AB" w:rsidRPr="00B4533B">
        <w:rPr>
          <w:rFonts w:ascii="Times New Roman" w:hAnsi="Times New Roman"/>
          <w:color w:val="auto"/>
          <w:sz w:val="24"/>
          <w:szCs w:val="24"/>
          <w:lang w:eastAsia="x-none"/>
        </w:rPr>
        <w:t xml:space="preserve"> 29, DE 21 DE JULHO DE 2015</w:t>
      </w:r>
    </w:p>
    <w:p w:rsidR="00B4533B" w:rsidRDefault="00B4533B" w:rsidP="00B4533B">
      <w:pPr>
        <w:pStyle w:val="Ttulo1"/>
        <w:keepNext w:val="0"/>
        <w:keepLines w:val="0"/>
        <w:widowControl w:val="0"/>
        <w:spacing w:before="0" w:after="200"/>
        <w:jc w:val="center"/>
        <w:rPr>
          <w:rFonts w:ascii="Times New Roman" w:hAnsi="Times New Roman"/>
          <w:color w:val="0000FF"/>
          <w:sz w:val="24"/>
          <w:szCs w:val="24"/>
          <w:lang w:eastAsia="x-none"/>
        </w:rPr>
      </w:pPr>
      <w:r w:rsidRPr="00B4533B">
        <w:rPr>
          <w:rFonts w:ascii="Times New Roman" w:hAnsi="Times New Roman"/>
          <w:color w:val="0000FF"/>
          <w:sz w:val="24"/>
          <w:szCs w:val="24"/>
          <w:lang w:eastAsia="x-none"/>
        </w:rPr>
        <w:t>(Publicada no DOU nº 139, de 23 de julho de 2015)</w:t>
      </w:r>
    </w:p>
    <w:p w:rsidR="006918D0" w:rsidRPr="006918D0" w:rsidRDefault="006918D0" w:rsidP="006918D0">
      <w:pPr>
        <w:pStyle w:val="Ttulo1"/>
        <w:keepNext w:val="0"/>
        <w:keepLines w:val="0"/>
        <w:widowControl w:val="0"/>
        <w:spacing w:before="0" w:after="200"/>
        <w:jc w:val="center"/>
        <w:rPr>
          <w:rFonts w:ascii="Times New Roman" w:hAnsi="Times New Roman"/>
          <w:color w:val="0000FF"/>
          <w:sz w:val="24"/>
          <w:szCs w:val="24"/>
          <w:lang w:eastAsia="x-none"/>
        </w:rPr>
      </w:pPr>
      <w:r w:rsidRPr="006918D0">
        <w:rPr>
          <w:rFonts w:ascii="Times New Roman" w:hAnsi="Times New Roman"/>
          <w:color w:val="0000FF"/>
          <w:sz w:val="24"/>
          <w:szCs w:val="24"/>
          <w:lang w:eastAsia="x-none"/>
        </w:rPr>
        <w:t xml:space="preserve">(Revogada </w:t>
      </w:r>
      <w:r>
        <w:rPr>
          <w:rFonts w:ascii="Times New Roman" w:hAnsi="Times New Roman"/>
          <w:color w:val="0000FF"/>
          <w:sz w:val="24"/>
          <w:szCs w:val="24"/>
          <w:lang w:eastAsia="x-none"/>
        </w:rPr>
        <w:t>pela Resolução – RDC nº 61, de 3 de fevereiro de 2015)</w:t>
      </w:r>
    </w:p>
    <w:p w:rsidR="00B4533B" w:rsidRPr="006918D0" w:rsidRDefault="005232D0" w:rsidP="00B4533B">
      <w:pPr>
        <w:spacing w:after="200"/>
        <w:ind w:left="3969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Aprova e promulga o Regimento Interno da Agência Nacional de Vigilância Sanitária – ANVISA e dá outras providências.</w:t>
      </w:r>
    </w:p>
    <w:p w:rsidR="00B4533B" w:rsidRPr="006918D0" w:rsidRDefault="005232D0" w:rsidP="00B4533B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 Diretoria Colegiada no uso da atribuição que lhe confere o art. 15, inciso VIII da Lei nº 9.782, de 26 de janeiro de 1999, com a nova redação dada pela Lei nº 13.097, de 19 de janeiro de 2015, conforme decisão do Circuito Deliberativo CD_DN 173/2015, de 18 de julho de 2015, e em cumprimento ao disposto no art. 129, da Lei nº 13.097, de 2015, adota a seguinte</w:t>
      </w:r>
      <w:r w:rsidRPr="006918D0">
        <w:rPr>
          <w:strike/>
          <w:color w:val="FF0000"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Resolução da Diretoria Colegiada e eu, Diretor-Presidente, determino a sua publicação:</w:t>
      </w:r>
    </w:p>
    <w:p w:rsidR="00B4533B" w:rsidRPr="006918D0" w:rsidRDefault="0014132D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 xml:space="preserve">Art. 1º Aprovar e promulgar o Regimento Interno da Agência Nacional de Vigilância Sanitária, na forma do Anexo I desta </w:t>
      </w:r>
      <w:r w:rsidR="00E24AD0" w:rsidRPr="006918D0">
        <w:rPr>
          <w:rFonts w:ascii="Times New Roman" w:hAnsi="Times New Roman" w:cs="Times New Roman"/>
          <w:strike/>
          <w:lang w:eastAsia="en-US"/>
        </w:rPr>
        <w:t>Resolução</w:t>
      </w:r>
      <w:r w:rsidRPr="006918D0">
        <w:rPr>
          <w:rFonts w:ascii="Times New Roman" w:hAnsi="Times New Roman" w:cs="Times New Roman"/>
          <w:strike/>
          <w:lang w:eastAsia="en-US"/>
        </w:rPr>
        <w:t>.</w:t>
      </w:r>
    </w:p>
    <w:p w:rsidR="00B4533B" w:rsidRPr="006918D0" w:rsidRDefault="0014132D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 xml:space="preserve">Art. 2º Alterar os quantitativos e a distribuição dos cargos em comissão previstos no Anexo I da Lei nº 9.986, de 18 de julho de 2000, com as alterações das Leis nº 10.871, de 20 de maio de 2004, e nº 11.292, de 26 de abril de 2006, sem aumento de despesa, nos termos do Anexo II desta </w:t>
      </w:r>
      <w:r w:rsidR="00E24AD0" w:rsidRPr="006918D0">
        <w:rPr>
          <w:rFonts w:ascii="Times New Roman" w:hAnsi="Times New Roman" w:cs="Times New Roman"/>
          <w:strike/>
          <w:lang w:eastAsia="en-US"/>
        </w:rPr>
        <w:t>Resolução</w:t>
      </w:r>
      <w:r w:rsidRPr="006918D0">
        <w:rPr>
          <w:rFonts w:ascii="Times New Roman" w:hAnsi="Times New Roman" w:cs="Times New Roman"/>
          <w:strike/>
          <w:lang w:eastAsia="en-US"/>
        </w:rPr>
        <w:t>.</w:t>
      </w:r>
    </w:p>
    <w:p w:rsidR="00B4533B" w:rsidRPr="006918D0" w:rsidRDefault="007E2ED4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 xml:space="preserve">Art 3º </w:t>
      </w:r>
      <w:r w:rsidR="00847318" w:rsidRPr="006918D0">
        <w:rPr>
          <w:rFonts w:ascii="Times New Roman" w:hAnsi="Times New Roman" w:cs="Times New Roman"/>
          <w:strike/>
          <w:lang w:eastAsia="en-US"/>
        </w:rPr>
        <w:t>A</w:t>
      </w:r>
      <w:r w:rsidR="00E24AD0" w:rsidRPr="006918D0">
        <w:rPr>
          <w:rFonts w:ascii="Times New Roman" w:hAnsi="Times New Roman" w:cs="Times New Roman"/>
          <w:strike/>
          <w:lang w:eastAsia="en-US"/>
        </w:rPr>
        <w:t>lterar o</w:t>
      </w:r>
      <w:r w:rsidRPr="006918D0">
        <w:rPr>
          <w:rFonts w:ascii="Times New Roman" w:hAnsi="Times New Roman" w:cs="Times New Roman"/>
          <w:strike/>
          <w:lang w:eastAsia="en-US"/>
        </w:rPr>
        <w:t xml:space="preserve"> quadro de distribuição dos cargos em comissão e de cargos comissionados técnicos das unidades organizacionais da Agência Nacional de Vigilância Sanitária, conforme Anexo</w:t>
      </w:r>
      <w:r w:rsidR="00AD3381" w:rsidRPr="006918D0">
        <w:rPr>
          <w:rFonts w:ascii="Times New Roman" w:hAnsi="Times New Roman" w:cs="Times New Roman"/>
          <w:strike/>
          <w:lang w:eastAsia="en-US"/>
        </w:rPr>
        <w:t xml:space="preserve"> III</w:t>
      </w:r>
      <w:r w:rsidRPr="006918D0">
        <w:rPr>
          <w:rFonts w:ascii="Times New Roman" w:hAnsi="Times New Roman" w:cs="Times New Roman"/>
          <w:strike/>
          <w:lang w:eastAsia="en-US"/>
        </w:rPr>
        <w:t xml:space="preserve"> desta </w:t>
      </w:r>
      <w:r w:rsidR="00AD3381" w:rsidRPr="006918D0">
        <w:rPr>
          <w:rFonts w:ascii="Times New Roman" w:hAnsi="Times New Roman" w:cs="Times New Roman"/>
          <w:strike/>
          <w:lang w:eastAsia="en-US"/>
        </w:rPr>
        <w:t>Resolução</w:t>
      </w:r>
      <w:r w:rsidRPr="006918D0">
        <w:rPr>
          <w:rFonts w:ascii="Times New Roman" w:hAnsi="Times New Roman" w:cs="Times New Roman"/>
          <w:strike/>
          <w:lang w:eastAsia="en-US"/>
        </w:rPr>
        <w:t>.</w:t>
      </w:r>
    </w:p>
    <w:p w:rsidR="00B4533B" w:rsidRPr="006918D0" w:rsidRDefault="0014132D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 xml:space="preserve">Art. </w:t>
      </w:r>
      <w:r w:rsidR="00E24AD0" w:rsidRPr="006918D0">
        <w:rPr>
          <w:rFonts w:ascii="Times New Roman" w:hAnsi="Times New Roman" w:cs="Times New Roman"/>
          <w:strike/>
          <w:lang w:eastAsia="en-US"/>
        </w:rPr>
        <w:t>4</w:t>
      </w:r>
      <w:r w:rsidRPr="006918D0">
        <w:rPr>
          <w:rFonts w:ascii="Times New Roman" w:hAnsi="Times New Roman" w:cs="Times New Roman"/>
          <w:strike/>
          <w:lang w:eastAsia="en-US"/>
        </w:rPr>
        <w:t>º</w:t>
      </w:r>
      <w:r w:rsidR="00E24AD0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 xml:space="preserve">Revogar a Portaria nº 650, </w:t>
      </w:r>
      <w:r w:rsidR="00785263" w:rsidRPr="006918D0">
        <w:rPr>
          <w:rFonts w:ascii="Times New Roman" w:hAnsi="Times New Roman" w:cs="Times New Roman"/>
          <w:strike/>
        </w:rPr>
        <w:t>de 29 de maio de 2014</w:t>
      </w:r>
      <w:r w:rsidRPr="006918D0">
        <w:rPr>
          <w:rFonts w:ascii="Times New Roman" w:hAnsi="Times New Roman" w:cs="Times New Roman"/>
          <w:strike/>
          <w:lang w:eastAsia="en-US"/>
        </w:rPr>
        <w:t xml:space="preserve">, publicada no Diário Oficial da União – DOU do dia 02 de junho de 2014, bem como suas respectivas alterações publicadas anteriormente à vigência desta </w:t>
      </w:r>
      <w:r w:rsidR="00847318" w:rsidRPr="006918D0">
        <w:rPr>
          <w:rFonts w:ascii="Times New Roman" w:hAnsi="Times New Roman" w:cs="Times New Roman"/>
          <w:strike/>
          <w:lang w:eastAsia="en-US"/>
        </w:rPr>
        <w:t>Resolução</w:t>
      </w:r>
      <w:r w:rsidRPr="006918D0">
        <w:rPr>
          <w:rFonts w:ascii="Times New Roman" w:hAnsi="Times New Roman" w:cs="Times New Roman"/>
          <w:strike/>
          <w:lang w:eastAsia="en-US"/>
        </w:rPr>
        <w:t xml:space="preserve">. </w:t>
      </w:r>
    </w:p>
    <w:p w:rsidR="00B4533B" w:rsidRPr="006918D0" w:rsidRDefault="00E24AD0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 xml:space="preserve">Art. </w:t>
      </w:r>
      <w:r w:rsidR="00847318" w:rsidRPr="006918D0">
        <w:rPr>
          <w:rFonts w:ascii="Times New Roman" w:hAnsi="Times New Roman" w:cs="Times New Roman"/>
          <w:strike/>
          <w:lang w:eastAsia="en-US"/>
        </w:rPr>
        <w:t>5</w:t>
      </w:r>
      <w:r w:rsidRPr="006918D0">
        <w:rPr>
          <w:rFonts w:ascii="Times New Roman" w:hAnsi="Times New Roman" w:cs="Times New Roman"/>
          <w:strike/>
          <w:lang w:eastAsia="en-US"/>
        </w:rPr>
        <w:t xml:space="preserve">º Revogar a Portaria nº 651, de 29 de maio de 2014, publicada no Boletim de Serviço – BS nº 30 do dia 02 de junho de 2014. </w:t>
      </w:r>
    </w:p>
    <w:p w:rsidR="00B4533B" w:rsidRPr="006918D0" w:rsidRDefault="00755D2E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Art. 6</w:t>
      </w:r>
      <w:r w:rsidR="0014132D" w:rsidRPr="006918D0">
        <w:rPr>
          <w:rFonts w:ascii="Times New Roman" w:hAnsi="Times New Roman" w:cs="Times New Roman"/>
          <w:strike/>
          <w:lang w:eastAsia="en-US"/>
        </w:rPr>
        <w:t xml:space="preserve">º Esta </w:t>
      </w:r>
      <w:r w:rsidR="00E24AD0" w:rsidRPr="006918D0">
        <w:rPr>
          <w:rFonts w:ascii="Times New Roman" w:hAnsi="Times New Roman" w:cs="Times New Roman"/>
          <w:strike/>
          <w:lang w:eastAsia="en-US"/>
        </w:rPr>
        <w:t xml:space="preserve">Resolução </w:t>
      </w:r>
      <w:r w:rsidR="0014132D" w:rsidRPr="006918D0">
        <w:rPr>
          <w:rFonts w:ascii="Times New Roman" w:hAnsi="Times New Roman" w:cs="Times New Roman"/>
          <w:strike/>
          <w:lang w:eastAsia="en-US"/>
        </w:rPr>
        <w:t>entra em vigor na data de sua publicação.</w:t>
      </w:r>
    </w:p>
    <w:p w:rsidR="00B4533B" w:rsidRPr="006918D0" w:rsidRDefault="00B4533B" w:rsidP="00B4533B">
      <w:pPr>
        <w:spacing w:after="200"/>
        <w:jc w:val="center"/>
        <w:rPr>
          <w:b/>
          <w:strike/>
          <w:sz w:val="24"/>
          <w:szCs w:val="24"/>
        </w:rPr>
      </w:pPr>
    </w:p>
    <w:p w:rsidR="00B4533B" w:rsidRPr="006918D0" w:rsidRDefault="00B4533B" w:rsidP="00B4533B">
      <w:pPr>
        <w:spacing w:after="200"/>
        <w:jc w:val="center"/>
        <w:rPr>
          <w:b/>
          <w:strike/>
          <w:sz w:val="24"/>
          <w:szCs w:val="24"/>
        </w:rPr>
      </w:pPr>
    </w:p>
    <w:p w:rsidR="007903AB" w:rsidRPr="006918D0" w:rsidRDefault="007903AB" w:rsidP="00B4533B">
      <w:pPr>
        <w:spacing w:after="200"/>
        <w:jc w:val="center"/>
        <w:rPr>
          <w:b/>
          <w:strike/>
          <w:sz w:val="24"/>
          <w:szCs w:val="24"/>
        </w:rPr>
      </w:pPr>
    </w:p>
    <w:p w:rsidR="00B4533B" w:rsidRPr="006918D0" w:rsidRDefault="00634079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JARBAS BARBOSA DA SILVA JR.</w:t>
      </w:r>
    </w:p>
    <w:p w:rsidR="00B4533B" w:rsidRPr="006918D0" w:rsidRDefault="00B4533B" w:rsidP="00B4533B">
      <w:pPr>
        <w:spacing w:after="200"/>
        <w:jc w:val="center"/>
        <w:rPr>
          <w:b/>
          <w:strike/>
          <w:sz w:val="24"/>
          <w:szCs w:val="24"/>
        </w:rPr>
      </w:pPr>
    </w:p>
    <w:p w:rsidR="00B4533B" w:rsidRPr="006918D0" w:rsidRDefault="00B4533B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br w:type="page"/>
      </w:r>
      <w:r w:rsidRPr="006918D0">
        <w:rPr>
          <w:b/>
          <w:strike/>
          <w:sz w:val="24"/>
          <w:szCs w:val="24"/>
        </w:rPr>
        <w:lastRenderedPageBreak/>
        <w:t>ANEXO I</w:t>
      </w:r>
    </w:p>
    <w:p w:rsidR="00B4533B" w:rsidRPr="006918D0" w:rsidRDefault="004B24F1" w:rsidP="00B4533B">
      <w:pPr>
        <w:spacing w:after="200"/>
        <w:jc w:val="center"/>
        <w:rPr>
          <w:b/>
          <w:bCs/>
          <w:strike/>
          <w:sz w:val="24"/>
          <w:szCs w:val="24"/>
          <w:bdr w:val="none" w:sz="0" w:space="0" w:color="auto" w:frame="1"/>
        </w:rPr>
      </w:pPr>
      <w:r w:rsidRPr="006918D0">
        <w:rPr>
          <w:b/>
          <w:bCs/>
          <w:strike/>
          <w:sz w:val="24"/>
          <w:szCs w:val="24"/>
          <w:bdr w:val="none" w:sz="0" w:space="0" w:color="auto" w:frame="1"/>
        </w:rPr>
        <w:t>REGIMENTO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INTERNO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DA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AGÊNCIA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NACIONAL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DE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VIGILÂNCIA</w:t>
      </w:r>
      <w:r w:rsidR="004B0A57" w:rsidRPr="006918D0">
        <w:rPr>
          <w:b/>
          <w:bCs/>
          <w:strike/>
          <w:sz w:val="24"/>
          <w:szCs w:val="24"/>
          <w:bdr w:val="none" w:sz="0" w:space="0" w:color="auto" w:frame="1"/>
        </w:rPr>
        <w:t xml:space="preserve"> </w:t>
      </w:r>
      <w:r w:rsidR="00096030" w:rsidRPr="006918D0">
        <w:rPr>
          <w:b/>
          <w:bCs/>
          <w:strike/>
          <w:sz w:val="24"/>
          <w:szCs w:val="24"/>
          <w:bdr w:val="none" w:sz="0" w:space="0" w:color="auto" w:frame="1"/>
        </w:rPr>
        <w:t>SANITÁRIA</w:t>
      </w:r>
    </w:p>
    <w:p w:rsidR="00096030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TÍTULO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B4533B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NATUREZA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FINALIDADE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0E2129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dispõe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15,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VIII,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9.782,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26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janeiro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1999,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 xml:space="preserve">nº </w:t>
      </w:r>
      <w:r w:rsidRPr="006918D0">
        <w:rPr>
          <w:rFonts w:ascii="Times New Roman" w:hAnsi="Times New Roman" w:cs="Times New Roman"/>
          <w:strike/>
        </w:rPr>
        <w:t>13</w:t>
      </w:r>
      <w:r w:rsidR="00DD297C" w:rsidRPr="006918D0">
        <w:rPr>
          <w:rFonts w:ascii="Times New Roman" w:hAnsi="Times New Roman" w:cs="Times New Roman"/>
          <w:strike/>
        </w:rPr>
        <w:t>.097,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19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janeiro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D297C" w:rsidRPr="006918D0">
        <w:rPr>
          <w:rFonts w:ascii="Times New Roman" w:hAnsi="Times New Roman" w:cs="Times New Roman"/>
          <w:strike/>
        </w:rPr>
        <w:t>2015.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Art.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2º</w:t>
      </w:r>
      <w:r w:rsidR="000E2129" w:rsidRPr="006918D0">
        <w:rPr>
          <w:rFonts w:ascii="Times New Roman" w:hAnsi="Times New Roman" w:cs="Times New Roman"/>
          <w:strike/>
          <w:lang w:eastAsia="en-US"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condição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Agência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Reguladora,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compete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C1949" w:rsidRPr="006918D0">
        <w:rPr>
          <w:rFonts w:ascii="Times New Roman" w:hAnsi="Times New Roman" w:cs="Times New Roman"/>
          <w:strike/>
          <w:lang w:eastAsia="en-US"/>
        </w:rPr>
        <w:t>Anvisa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promover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proteção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saúde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população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por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meio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controle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sanitário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produção,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comercialização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uso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produtos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serviços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submetidos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vigilância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sanitária,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inclusive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ambientes,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insumos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tecnologias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eles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relacionados,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controle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portos,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aeroportos,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fronteiras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recintos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alfandegados.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B4533B" w:rsidRPr="006918D0" w:rsidRDefault="000E2129" w:rsidP="00B4533B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Consideram-se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bebidas,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águas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envasadas,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embalagens,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contaminantes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orgânicos,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resíduos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veterinários;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desinfecção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desinfestação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domiciliares,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hospitalares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coletivos;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médico-hospitalares,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odontológicos,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hemoterápicos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imagem;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imunobiológicos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hemoderivados;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veterinários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transplantes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reconstituições;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radioisótopos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in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vivo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radiofármacos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terapia;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cigarros,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cigarrilhas,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charutos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engenharia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ainda,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radiação.</w:t>
      </w:r>
    </w:p>
    <w:p w:rsidR="00B4533B" w:rsidRPr="006918D0" w:rsidRDefault="007F3EE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lastRenderedPageBreak/>
        <w:t>Parágrafo 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considerados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aqueles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ambulatorial,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rotina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emergência,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aqueles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realizados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internação,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terapêutico,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aqueles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impliquem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incorporação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tecnologias</w:t>
      </w:r>
      <w:r w:rsidR="00265673" w:rsidRPr="006918D0">
        <w:rPr>
          <w:rFonts w:ascii="Times New Roman" w:hAnsi="Times New Roman" w:cs="Times New Roman"/>
          <w:strike/>
        </w:rPr>
        <w:t>.</w:t>
      </w:r>
    </w:p>
    <w:p w:rsidR="00096030" w:rsidRPr="006918D0" w:rsidRDefault="00096030" w:rsidP="00B4533B">
      <w:pPr>
        <w:autoSpaceDE w:val="0"/>
        <w:autoSpaceDN w:val="0"/>
        <w:adjustRightInd w:val="0"/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TÍTULO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</w:t>
      </w:r>
    </w:p>
    <w:p w:rsidR="00265673" w:rsidRPr="006918D0" w:rsidRDefault="00096030" w:rsidP="00B4533B">
      <w:pPr>
        <w:autoSpaceDE w:val="0"/>
        <w:autoSpaceDN w:val="0"/>
        <w:adjustRightInd w:val="0"/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ESTRUTURA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ORGANIZACIONAL</w:t>
      </w:r>
    </w:p>
    <w:p w:rsidR="00096030" w:rsidRPr="006918D0" w:rsidRDefault="00096030" w:rsidP="00B4533B">
      <w:pPr>
        <w:autoSpaceDE w:val="0"/>
        <w:autoSpaceDN w:val="0"/>
        <w:adjustRightInd w:val="0"/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B4533B" w:rsidRPr="006918D0" w:rsidRDefault="00096030" w:rsidP="00B4533B">
      <w:pPr>
        <w:autoSpaceDE w:val="0"/>
        <w:autoSpaceDN w:val="0"/>
        <w:adjustRightInd w:val="0"/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UNIDADES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ORGANIZACIONAIS</w:t>
      </w:r>
      <w:r w:rsidR="004B0A57" w:rsidRPr="006918D0">
        <w:rPr>
          <w:b/>
          <w:strike/>
          <w:sz w:val="24"/>
          <w:szCs w:val="24"/>
        </w:rPr>
        <w:t xml:space="preserve"> </w:t>
      </w:r>
    </w:p>
    <w:p w:rsidR="00096030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seguinte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organizacional: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1F1FD7" w:rsidRPr="006918D0" w:rsidRDefault="001F1FD7" w:rsidP="00523F89">
      <w:pPr>
        <w:pStyle w:val="PargrafodaLista"/>
        <w:autoSpaceDE w:val="0"/>
        <w:autoSpaceDN w:val="0"/>
        <w:adjustRightInd w:val="0"/>
        <w:spacing w:after="200"/>
        <w:ind w:left="0" w:firstLine="567"/>
        <w:rPr>
          <w:strike/>
        </w:rPr>
      </w:pPr>
      <w:r w:rsidRPr="006918D0">
        <w:rPr>
          <w:bCs/>
          <w:strike/>
        </w:rPr>
        <w:t>I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–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Diretorias:</w:t>
      </w:r>
      <w:r w:rsidR="004B0A57" w:rsidRPr="006918D0">
        <w:rPr>
          <w:bCs/>
          <w:strike/>
        </w:rPr>
        <w:t xml:space="preserve"> </w:t>
      </w:r>
    </w:p>
    <w:p w:rsidR="001F1FD7" w:rsidRPr="006918D0" w:rsidRDefault="001F1FD7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Institucional;</w:t>
      </w:r>
    </w:p>
    <w:p w:rsidR="001F1FD7" w:rsidRPr="006918D0" w:rsidRDefault="001F1FD7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  <w:r w:rsidR="004B0A57" w:rsidRPr="006918D0">
        <w:rPr>
          <w:strike/>
          <w:sz w:val="24"/>
          <w:szCs w:val="24"/>
        </w:rPr>
        <w:t xml:space="preserve"> </w:t>
      </w:r>
    </w:p>
    <w:p w:rsidR="001F1FD7" w:rsidRPr="006918D0" w:rsidRDefault="001F1FD7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Articulação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  <w:r w:rsidR="004B0A57" w:rsidRPr="006918D0">
        <w:rPr>
          <w:strike/>
          <w:sz w:val="24"/>
          <w:szCs w:val="24"/>
        </w:rPr>
        <w:t xml:space="preserve"> </w:t>
      </w:r>
    </w:p>
    <w:p w:rsidR="001F1FD7" w:rsidRPr="006918D0" w:rsidRDefault="001F1FD7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Autorização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Registro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Sanitários;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</w:p>
    <w:p w:rsidR="001F1FD7" w:rsidRPr="006918D0" w:rsidRDefault="001F1FD7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e)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Controle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Sanitários.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pStyle w:val="PargrafodaLista"/>
        <w:autoSpaceDE w:val="0"/>
        <w:autoSpaceDN w:val="0"/>
        <w:adjustRightInd w:val="0"/>
        <w:spacing w:after="200"/>
        <w:ind w:left="0" w:firstLine="567"/>
        <w:rPr>
          <w:bCs/>
          <w:strike/>
        </w:rPr>
      </w:pPr>
      <w:r w:rsidRPr="006918D0">
        <w:rPr>
          <w:bCs/>
          <w:strike/>
        </w:rPr>
        <w:t>I</w:t>
      </w:r>
      <w:r w:rsidR="001F1FD7" w:rsidRPr="006918D0">
        <w:rPr>
          <w:bCs/>
          <w:strike/>
        </w:rPr>
        <w:t>I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–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Diretoria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Colegiada:</w:t>
      </w:r>
      <w:r w:rsidR="004B0A57" w:rsidRPr="006918D0">
        <w:rPr>
          <w:bCs/>
          <w:strike/>
        </w:rPr>
        <w:t xml:space="preserve"> </w:t>
      </w:r>
    </w:p>
    <w:p w:rsidR="00096030" w:rsidRPr="006918D0" w:rsidRDefault="0037475F" w:rsidP="00523F89">
      <w:pPr>
        <w:pStyle w:val="PargrafodaLista"/>
        <w:autoSpaceDE w:val="0"/>
        <w:autoSpaceDN w:val="0"/>
        <w:adjustRightInd w:val="0"/>
        <w:spacing w:after="200"/>
        <w:ind w:left="0" w:firstLine="567"/>
        <w:rPr>
          <w:strike/>
        </w:rPr>
      </w:pPr>
      <w:r w:rsidRPr="006918D0">
        <w:rPr>
          <w:strike/>
        </w:rPr>
        <w:t>a)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Secretaria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Executiva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da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Diretoria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Colegiada.</w:t>
      </w:r>
      <w:r w:rsidR="004B0A57" w:rsidRPr="006918D0">
        <w:rPr>
          <w:strike/>
        </w:rPr>
        <w:t xml:space="preserve"> </w:t>
      </w:r>
    </w:p>
    <w:p w:rsidR="00096030" w:rsidRPr="006918D0" w:rsidRDefault="00096030" w:rsidP="00523F89">
      <w:pPr>
        <w:pStyle w:val="PargrafodaLista"/>
        <w:autoSpaceDE w:val="0"/>
        <w:autoSpaceDN w:val="0"/>
        <w:adjustRightInd w:val="0"/>
        <w:spacing w:after="200"/>
        <w:ind w:left="0" w:firstLine="567"/>
        <w:rPr>
          <w:bCs/>
          <w:strike/>
        </w:rPr>
      </w:pPr>
      <w:r w:rsidRPr="006918D0">
        <w:rPr>
          <w:bCs/>
          <w:strike/>
        </w:rPr>
        <w:t>II</w:t>
      </w:r>
      <w:r w:rsidR="001F1FD7" w:rsidRPr="006918D0">
        <w:rPr>
          <w:bCs/>
          <w:strike/>
        </w:rPr>
        <w:t>I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–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Órgão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de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Assistência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Direta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ao</w:t>
      </w:r>
      <w:r w:rsidR="004B0A57" w:rsidRPr="006918D0">
        <w:rPr>
          <w:bCs/>
          <w:strike/>
        </w:rPr>
        <w:t xml:space="preserve"> </w:t>
      </w:r>
      <w:r w:rsidRPr="006918D0">
        <w:rPr>
          <w:bCs/>
          <w:strike/>
        </w:rPr>
        <w:t>Diretor–Presidente:</w:t>
      </w:r>
    </w:p>
    <w:p w:rsidR="00096030" w:rsidRPr="006918D0" w:rsidRDefault="0037475F" w:rsidP="00523F89">
      <w:pPr>
        <w:pStyle w:val="PargrafodaLista"/>
        <w:autoSpaceDE w:val="0"/>
        <w:autoSpaceDN w:val="0"/>
        <w:adjustRightInd w:val="0"/>
        <w:spacing w:after="200"/>
        <w:ind w:left="0" w:firstLine="567"/>
        <w:rPr>
          <w:strike/>
        </w:rPr>
      </w:pPr>
      <w:r w:rsidRPr="006918D0">
        <w:rPr>
          <w:strike/>
        </w:rPr>
        <w:t>a)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Gabinete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do</w:t>
      </w:r>
      <w:r w:rsidR="004B0A57" w:rsidRPr="006918D0">
        <w:rPr>
          <w:strike/>
        </w:rPr>
        <w:t xml:space="preserve"> </w:t>
      </w:r>
      <w:r w:rsidR="00096030" w:rsidRPr="006918D0">
        <w:rPr>
          <w:strike/>
        </w:rPr>
        <w:t>Diretor–Presidente.</w:t>
      </w:r>
      <w:r w:rsidR="004B0A57" w:rsidRPr="006918D0">
        <w:rPr>
          <w:strike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bCs/>
          <w:strike/>
          <w:sz w:val="24"/>
          <w:szCs w:val="24"/>
        </w:rPr>
      </w:pPr>
      <w:r w:rsidRPr="006918D0">
        <w:rPr>
          <w:bCs/>
          <w:strike/>
          <w:sz w:val="24"/>
          <w:szCs w:val="24"/>
        </w:rPr>
        <w:t>IV</w:t>
      </w:r>
      <w:r w:rsidR="004B0A57" w:rsidRPr="006918D0">
        <w:rPr>
          <w:bCs/>
          <w:strike/>
          <w:sz w:val="24"/>
          <w:szCs w:val="24"/>
        </w:rPr>
        <w:t xml:space="preserve"> </w:t>
      </w:r>
      <w:r w:rsidRPr="006918D0">
        <w:rPr>
          <w:bCs/>
          <w:strike/>
          <w:sz w:val="24"/>
          <w:szCs w:val="24"/>
        </w:rPr>
        <w:t>–</w:t>
      </w:r>
      <w:r w:rsidR="004B0A57" w:rsidRPr="006918D0">
        <w:rPr>
          <w:bCs/>
          <w:strike/>
          <w:sz w:val="24"/>
          <w:szCs w:val="24"/>
        </w:rPr>
        <w:t xml:space="preserve"> </w:t>
      </w:r>
      <w:r w:rsidRPr="006918D0">
        <w:rPr>
          <w:bCs/>
          <w:strike/>
          <w:sz w:val="24"/>
          <w:szCs w:val="24"/>
        </w:rPr>
        <w:t>Unidades</w:t>
      </w:r>
      <w:r w:rsidR="004B0A57" w:rsidRPr="006918D0">
        <w:rPr>
          <w:bCs/>
          <w:strike/>
          <w:sz w:val="24"/>
          <w:szCs w:val="24"/>
        </w:rPr>
        <w:t xml:space="preserve"> </w:t>
      </w:r>
      <w:r w:rsidRPr="006918D0">
        <w:rPr>
          <w:bCs/>
          <w:strike/>
          <w:sz w:val="24"/>
          <w:szCs w:val="24"/>
        </w:rPr>
        <w:t>Organizacionais</w:t>
      </w:r>
      <w:r w:rsidR="004B0A57" w:rsidRPr="006918D0">
        <w:rPr>
          <w:bCs/>
          <w:strike/>
          <w:sz w:val="24"/>
          <w:szCs w:val="24"/>
        </w:rPr>
        <w:t xml:space="preserve"> </w:t>
      </w:r>
      <w:r w:rsidRPr="006918D0">
        <w:rPr>
          <w:bCs/>
          <w:strike/>
          <w:sz w:val="24"/>
          <w:szCs w:val="24"/>
        </w:rPr>
        <w:t>Específicas:</w:t>
      </w:r>
      <w:r w:rsidR="004B0A57" w:rsidRPr="006918D0">
        <w:rPr>
          <w:bCs/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Procuradoria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Federal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junto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1C1949" w:rsidRPr="006918D0">
        <w:rPr>
          <w:strike/>
          <w:sz w:val="24"/>
          <w:szCs w:val="24"/>
        </w:rPr>
        <w:t>Anvisa</w:t>
      </w:r>
      <w:r w:rsidRPr="006918D0">
        <w:rPr>
          <w:strike/>
          <w:sz w:val="24"/>
          <w:szCs w:val="24"/>
        </w:rPr>
        <w:t>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Ouvidoria;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Corregedoria;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</w:p>
    <w:p w:rsidR="006C756D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Auditoria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CE10EB" w:rsidP="00523F89">
      <w:pPr>
        <w:autoSpaceDE w:val="0"/>
        <w:autoSpaceDN w:val="0"/>
        <w:adjustRightInd w:val="0"/>
        <w:spacing w:after="200"/>
        <w:ind w:firstLine="567"/>
        <w:rPr>
          <w:bCs/>
          <w:strike/>
          <w:sz w:val="24"/>
          <w:szCs w:val="24"/>
        </w:rPr>
      </w:pPr>
      <w:r w:rsidRPr="006918D0">
        <w:rPr>
          <w:bCs/>
          <w:strike/>
          <w:sz w:val="24"/>
          <w:szCs w:val="24"/>
        </w:rPr>
        <w:t>V</w:t>
      </w:r>
      <w:r w:rsidR="004B0A57" w:rsidRPr="006918D0">
        <w:rPr>
          <w:bCs/>
          <w:strike/>
          <w:sz w:val="24"/>
          <w:szCs w:val="24"/>
        </w:rPr>
        <w:t xml:space="preserve"> </w:t>
      </w:r>
      <w:r w:rsidR="00096030" w:rsidRPr="006918D0">
        <w:rPr>
          <w:bCs/>
          <w:strike/>
          <w:sz w:val="24"/>
          <w:szCs w:val="24"/>
        </w:rPr>
        <w:t>–</w:t>
      </w:r>
      <w:r w:rsidR="004B0A57" w:rsidRPr="006918D0">
        <w:rPr>
          <w:bCs/>
          <w:strike/>
          <w:sz w:val="24"/>
          <w:szCs w:val="24"/>
        </w:rPr>
        <w:t xml:space="preserve"> </w:t>
      </w:r>
      <w:r w:rsidR="00096030" w:rsidRPr="006918D0">
        <w:rPr>
          <w:bCs/>
          <w:strike/>
          <w:sz w:val="24"/>
          <w:szCs w:val="24"/>
        </w:rPr>
        <w:t>Superintendências:</w:t>
      </w:r>
      <w:r w:rsidR="004B0A57" w:rsidRPr="006918D0">
        <w:rPr>
          <w:bCs/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Correlatos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Toxicologia;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lastRenderedPageBreak/>
        <w:t>d)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Acompanhamento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Mercados;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e)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f)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Fiscalização,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Controle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g)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h)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CE10EB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bCs/>
          <w:iCs/>
          <w:strike/>
          <w:sz w:val="24"/>
          <w:szCs w:val="24"/>
        </w:rPr>
        <w:t>VI</w:t>
      </w:r>
      <w:r w:rsidR="004B0A57" w:rsidRPr="006918D0">
        <w:rPr>
          <w:bCs/>
          <w:iCs/>
          <w:strike/>
          <w:sz w:val="24"/>
          <w:szCs w:val="24"/>
        </w:rPr>
        <w:t xml:space="preserve"> </w:t>
      </w:r>
      <w:r w:rsidR="00096030" w:rsidRPr="006918D0">
        <w:rPr>
          <w:bCs/>
          <w:strike/>
          <w:sz w:val="24"/>
          <w:szCs w:val="24"/>
        </w:rPr>
        <w:t>–</w:t>
      </w:r>
      <w:r w:rsidR="004B0A57" w:rsidRPr="006918D0">
        <w:rPr>
          <w:bCs/>
          <w:strike/>
          <w:sz w:val="24"/>
          <w:szCs w:val="24"/>
        </w:rPr>
        <w:t xml:space="preserve"> </w:t>
      </w:r>
      <w:r w:rsidR="00096030" w:rsidRPr="006918D0">
        <w:rPr>
          <w:bCs/>
          <w:strike/>
          <w:sz w:val="24"/>
          <w:szCs w:val="24"/>
        </w:rPr>
        <w:t>Unidades</w:t>
      </w:r>
      <w:r w:rsidR="004B0A57" w:rsidRPr="006918D0">
        <w:rPr>
          <w:bCs/>
          <w:strike/>
          <w:sz w:val="24"/>
          <w:szCs w:val="24"/>
        </w:rPr>
        <w:t xml:space="preserve"> </w:t>
      </w:r>
      <w:r w:rsidR="00096030" w:rsidRPr="006918D0">
        <w:rPr>
          <w:bCs/>
          <w:strike/>
          <w:sz w:val="24"/>
          <w:szCs w:val="24"/>
        </w:rPr>
        <w:t>Executivas:</w:t>
      </w:r>
      <w:r w:rsidR="004B0A57" w:rsidRPr="006918D0">
        <w:rPr>
          <w:bCs/>
          <w:i/>
          <w:iCs/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Gerências–Gerais;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</w:p>
    <w:p w:rsidR="00B4533B" w:rsidRPr="006918D0" w:rsidRDefault="00096030" w:rsidP="00523F89">
      <w:pPr>
        <w:autoSpaceDE w:val="0"/>
        <w:autoSpaceDN w:val="0"/>
        <w:adjustRightInd w:val="0"/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Coordenações.</w:t>
      </w:r>
    </w:p>
    <w:p w:rsidR="00B4533B" w:rsidRPr="006918D0" w:rsidRDefault="006C756D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1º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Executivas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às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Superintendências.</w:t>
      </w:r>
      <w:r w:rsidR="004B0A57" w:rsidRPr="006918D0">
        <w:rPr>
          <w:strike/>
          <w:sz w:val="24"/>
          <w:szCs w:val="24"/>
        </w:rPr>
        <w:t xml:space="preserve"> </w:t>
      </w:r>
    </w:p>
    <w:p w:rsidR="007903A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2º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Gabinete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Diretor-Presidente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  <w:r w:rsidR="004B0A57" w:rsidRPr="006918D0">
        <w:rPr>
          <w:strike/>
          <w:sz w:val="24"/>
          <w:szCs w:val="24"/>
        </w:rPr>
        <w:t xml:space="preserve"> 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Registro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Publicidade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Atos;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Comissão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Ética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1C1949" w:rsidRPr="006918D0">
        <w:rPr>
          <w:strike/>
          <w:sz w:val="24"/>
          <w:szCs w:val="24"/>
        </w:rPr>
        <w:t>Anvisa</w:t>
      </w:r>
      <w:r w:rsidRPr="006918D0">
        <w:rPr>
          <w:strike/>
          <w:sz w:val="24"/>
          <w:szCs w:val="24"/>
        </w:rPr>
        <w:t>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Apoio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Administrativo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</w:t>
      </w:r>
      <w:r w:rsidR="00F60ED1" w:rsidRPr="006918D0">
        <w:rPr>
          <w:strike/>
          <w:sz w:val="24"/>
          <w:szCs w:val="24"/>
        </w:rPr>
        <w:t>ão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Segurança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Institucional;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Secretaria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Executiva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Câmara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Mercado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</w:t>
      </w:r>
      <w:r w:rsidR="00F60ED1" w:rsidRPr="006918D0">
        <w:rPr>
          <w:strike/>
          <w:sz w:val="24"/>
          <w:szCs w:val="24"/>
        </w:rPr>
        <w:t>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–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Comunicação,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Eventos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Cerimonial</w:t>
      </w:r>
      <w:r w:rsidR="00F60ED1" w:rsidRPr="006918D0">
        <w:rPr>
          <w:strike/>
          <w:sz w:val="24"/>
          <w:szCs w:val="24"/>
        </w:rPr>
        <w:t>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–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Planejamento</w:t>
      </w:r>
      <w:r w:rsidR="00F60ED1" w:rsidRPr="006918D0">
        <w:rPr>
          <w:strike/>
          <w:sz w:val="24"/>
          <w:szCs w:val="24"/>
        </w:rPr>
        <w:t>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VII</w:t>
      </w:r>
      <w:r w:rsidR="007903AB"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–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Assuntos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Internacionais</w:t>
      </w:r>
      <w:r w:rsidR="00F60ED1" w:rsidRPr="006918D0">
        <w:rPr>
          <w:strike/>
          <w:sz w:val="24"/>
          <w:szCs w:val="24"/>
        </w:rPr>
        <w:t>;</w:t>
      </w:r>
    </w:p>
    <w:p w:rsidR="00466C3C" w:rsidRPr="006918D0" w:rsidRDefault="007903AB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IX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–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Parlamentar</w:t>
      </w:r>
      <w:r w:rsidR="00F60ED1" w:rsidRPr="006918D0">
        <w:rPr>
          <w:strike/>
          <w:sz w:val="24"/>
          <w:szCs w:val="24"/>
        </w:rPr>
        <w:t>;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X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–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Articulação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Relações</w:t>
      </w:r>
      <w:r w:rsidR="004B0A57" w:rsidRPr="006918D0">
        <w:rPr>
          <w:strike/>
          <w:sz w:val="24"/>
          <w:szCs w:val="24"/>
        </w:rPr>
        <w:t xml:space="preserve"> </w:t>
      </w:r>
      <w:r w:rsidR="00F60ED1" w:rsidRPr="006918D0">
        <w:rPr>
          <w:strike/>
          <w:sz w:val="24"/>
          <w:szCs w:val="24"/>
        </w:rPr>
        <w:t>Institucionais.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I - Coordenação de Registro e Publicidade de Atos; </w:t>
      </w:r>
      <w:r w:rsidRPr="006918D0">
        <w:rPr>
          <w:b/>
          <w:strike/>
          <w:color w:val="0000FF"/>
          <w:sz w:val="24"/>
          <w:szCs w:val="24"/>
        </w:rPr>
        <w:t>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 - Coordenação Administrativa da Comissão de Ética da Anvisa;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III - Coordenação de Apoio Administrativo </w:t>
      </w:r>
      <w:r w:rsidRPr="006918D0">
        <w:rPr>
          <w:b/>
          <w:strike/>
          <w:color w:val="0000FF"/>
          <w:sz w:val="24"/>
          <w:szCs w:val="24"/>
        </w:rPr>
        <w:t>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lastRenderedPageBreak/>
        <w:t>IV - Coordenação de Segurança Institucional;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 - Secretaria Executiva da Câmara de Regulação do Mercado de Medicamentos;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 - Assessoria de Comunicação, Eventos e Cerimonial;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VII - Assessoria de Planejamento;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VIII - Assessoria de Assuntos Internacionais; e </w:t>
      </w:r>
      <w:r w:rsidRPr="006918D0">
        <w:rPr>
          <w:b/>
          <w:strike/>
          <w:color w:val="0000FF"/>
          <w:sz w:val="24"/>
          <w:szCs w:val="24"/>
        </w:rPr>
        <w:t>(Redação dada pela Resolução – RDC nº 47, de 6 de novembro de 2015)</w:t>
      </w:r>
    </w:p>
    <w:p w:rsidR="00761C0D" w:rsidRPr="006918D0" w:rsidRDefault="00761C0D" w:rsidP="00761C0D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IX - Assessoria Parlamentar.</w:t>
      </w:r>
      <w:r w:rsidRPr="006918D0">
        <w:rPr>
          <w:b/>
          <w:strike/>
          <w:color w:val="0000FF"/>
          <w:sz w:val="24"/>
          <w:szCs w:val="24"/>
        </w:rPr>
        <w:t xml:space="preserve"> (Redação dada pela Resolução – RDC nº 47, de 6 de novembro de 2015)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3º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Procuradoria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Federal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junto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1C1949" w:rsidRPr="006918D0">
        <w:rPr>
          <w:strike/>
          <w:sz w:val="24"/>
          <w:szCs w:val="24"/>
        </w:rPr>
        <w:t>Anvisa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Licitações,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Contratos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Convênios;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Consultivo;</w:t>
      </w:r>
    </w:p>
    <w:p w:rsidR="00466C3C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Assuntos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Judiciais;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Dívida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Ativa</w:t>
      </w:r>
      <w:r w:rsidR="00A91E7B" w:rsidRPr="006918D0">
        <w:rPr>
          <w:strike/>
          <w:sz w:val="24"/>
          <w:szCs w:val="24"/>
        </w:rPr>
        <w:t>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4º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Comunicação,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Eventos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Cerimonial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Eventos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Cerimonial;</w:t>
      </w:r>
      <w:r w:rsidR="004B0A57" w:rsidRPr="006918D0">
        <w:rPr>
          <w:strike/>
          <w:sz w:val="24"/>
          <w:szCs w:val="24"/>
        </w:rPr>
        <w:t xml:space="preserve"> 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Imprensa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Comunicação;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Editorial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Publicidade.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5º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Planejamento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Programas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Estratégicos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Orçamentária;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Qualidade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Processos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Organizacionais.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6º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Assuntos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Internacionais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Articulação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Convergência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Regulatória;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Cooperação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Internacional;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Missões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Internacionais.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lastRenderedPageBreak/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7º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Correlatos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Correlatos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Pesquisa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Clínica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Correlatos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Avaliação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Risco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Eficácia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Alegações;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Regulamentação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Cosméticos;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Equipamentos;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Diagnósticos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vitro;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Materiais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Saneantes.</w:t>
      </w:r>
    </w:p>
    <w:p w:rsidR="002F5D01" w:rsidRPr="006918D0" w:rsidRDefault="0037475F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8º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Toxicologia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Toxicologia;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Derivados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Tabaco;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Toxicologia: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Novos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Baixo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Risco;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Equivalentes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Outros.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9º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Interna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Financeira: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Administrativa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Infrações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Sanitárias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Contabilidade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Custos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Licitações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Públicas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Orçamento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Finanças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e)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Contratos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Parcerias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f)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Arrecadação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g)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C27CDC" w:rsidRPr="006918D0">
        <w:rPr>
          <w:strike/>
          <w:sz w:val="24"/>
          <w:szCs w:val="24"/>
        </w:rPr>
        <w:t>Logística</w:t>
      </w:r>
      <w:r w:rsidRPr="006918D0">
        <w:rPr>
          <w:strike/>
          <w:sz w:val="24"/>
          <w:szCs w:val="24"/>
        </w:rPr>
        <w:t>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Pessoas: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Legislação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Pessoal;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Qualidade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Trabalho;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Pessoas;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Desenvolvimento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Pessoas;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Informação: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Segurança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Tecnológica;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Projetos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Governança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Desenvolvimento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Operações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Conhecimento,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Pesquisa: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Conhecimento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Pesquisa;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Atendimento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Público;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Documental.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10.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Acompanhamento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Mercados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Regulamentação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Boas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Práticas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Regulatórias: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Processo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Regulamentação;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Estratégico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Estoque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Regulatório;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Impacto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Regulatório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Acompanhamento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Mercados: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Impacto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Regulatório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Assessoramento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Econômico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Regulação;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Econômicas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Acompanhamento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Mercados.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9F388D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11.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Qualidade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Processo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Autorização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Funcionamento;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Insumos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Farmacêuticos,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Saneantes,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Cosméticos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Alimentos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Inspeção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12.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Fiscalização,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Controle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Centro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Gerenciamento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Informações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sobre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Emergências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Fiscalização;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Sujeitos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Avaliação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Risco;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Risco;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 - Gerência–Geral de Fiscalização de Produtos Sujeitos à Vigilância Sanitária: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 Gerência de Fiscalização de Produtos Sujeitos à Vigilância Sanitária: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 Coordenação de Análise e Julgamento de Processo Administrativo Sanitário;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c) Coordenação de Processo Administrativo Sanitário;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d) Coordenação de Produtos Controlados; e</w:t>
      </w:r>
    </w:p>
    <w:p w:rsidR="00B4533B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 - Gerência de Laboratórios de Saúde Pública.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13.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Gestão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Programas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Estratégicos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Único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Fortalecimento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Fortalecimento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Sistema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Nacional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Sanitária;</w:t>
      </w:r>
      <w:r w:rsidR="004B0A57" w:rsidRPr="006918D0">
        <w:rPr>
          <w:strike/>
          <w:sz w:val="24"/>
          <w:szCs w:val="24"/>
        </w:rPr>
        <w:t xml:space="preserve"> 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Tecnologia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Regulamentação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Controle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Saúde.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14.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Técnica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Julgamento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Infrações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Alfandegados;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Alfandegados;</w:t>
      </w:r>
      <w:r w:rsidR="004B0A57" w:rsidRPr="006918D0">
        <w:rPr>
          <w:strike/>
          <w:sz w:val="24"/>
          <w:szCs w:val="24"/>
        </w:rPr>
        <w:t xml:space="preserve"> 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Infraestrutura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Alfandegados;</w:t>
      </w:r>
      <w:r w:rsidR="004B0A57" w:rsidRPr="006918D0">
        <w:rPr>
          <w:strike/>
          <w:sz w:val="24"/>
          <w:szCs w:val="24"/>
        </w:rPr>
        <w:t xml:space="preserve"> </w:t>
      </w:r>
    </w:p>
    <w:p w:rsidR="002F5D01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Estados:</w:t>
      </w:r>
      <w:r w:rsidR="004B0A57" w:rsidRPr="006918D0">
        <w:rPr>
          <w:strike/>
          <w:sz w:val="24"/>
          <w:szCs w:val="24"/>
        </w:rPr>
        <w:t xml:space="preserve"> </w:t>
      </w:r>
    </w:p>
    <w:p w:rsidR="0025453A" w:rsidRPr="006918D0" w:rsidRDefault="0025453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Postos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Alfandegados;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Instalações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Serviços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Interesse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Meios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Transporte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Viajantes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Fronteiras: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Monitoramento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Vigilância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Saúde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Fronteiras;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Fiscalização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Fronteiras;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Controle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Sanitário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Comércio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Exterior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Alfandegados:</w:t>
      </w:r>
      <w:r w:rsidR="004B0A57" w:rsidRPr="006918D0">
        <w:rPr>
          <w:strike/>
          <w:sz w:val="24"/>
          <w:szCs w:val="24"/>
        </w:rPr>
        <w:t xml:space="preserve"> </w:t>
      </w:r>
    </w:p>
    <w:p w:rsidR="00B4533B" w:rsidRPr="006918D0" w:rsidRDefault="003B7503" w:rsidP="00523F89">
      <w:pPr>
        <w:spacing w:after="200"/>
        <w:ind w:firstLine="567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a) </w:t>
      </w:r>
      <w:r w:rsidR="00466C3C"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Orientação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Operacional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das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Ações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Fiscalização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Sanitária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Empresas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Portos,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Aeroportos,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Fronteiras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Recintos</w:t>
      </w:r>
      <w:r w:rsidR="004B0A57" w:rsidRPr="006918D0">
        <w:rPr>
          <w:strike/>
          <w:sz w:val="24"/>
          <w:szCs w:val="24"/>
        </w:rPr>
        <w:t xml:space="preserve"> </w:t>
      </w:r>
      <w:r w:rsidR="00466C3C" w:rsidRPr="006918D0">
        <w:rPr>
          <w:strike/>
          <w:sz w:val="24"/>
          <w:szCs w:val="24"/>
        </w:rPr>
        <w:t>Alfandegados;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15.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Superintendência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subordinadas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Unidades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Administrativas: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Instrução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Farmacopeia;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Propriedade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Intelectual;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Pesquisa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Clínica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Medicamentos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Biológicos;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Coordenação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Bula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Rotulagem;</w:t>
      </w:r>
      <w:r w:rsidR="004B0A57" w:rsidRPr="006918D0">
        <w:rPr>
          <w:strike/>
          <w:sz w:val="24"/>
          <w:szCs w:val="24"/>
        </w:rPr>
        <w:t xml:space="preserve">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VI - Gerência–Geral de Medicamentos: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a) Gerência de Avaliação de Eficácia e Segurança de Medicamentos Sintéticos;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b) Gerência de Avaliação de Tecnologia de Registro de Medicamentos Sintéticos;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c) Gerência de Avaliação de Tecnologia de Pós–Registro de Medicamentos Sintéticos: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d) Coordenação de Equivalência Terapêutica;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e) Coordenação de Registro de Insumos Farmacêuticos Ativos;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f) Coordenação de Medicamentos Fitoterápicos e Dinamizados; </w:t>
      </w:r>
    </w:p>
    <w:p w:rsidR="005232D0" w:rsidRPr="006918D0" w:rsidRDefault="005232D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g) Coordenação de Medicamentos Específicos, Notificados e Gases Medicinais;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VII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Gerência–Geral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Sangue,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Tecidos,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Células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Órgãos:</w:t>
      </w:r>
      <w:r w:rsidR="004B0A57" w:rsidRPr="006918D0">
        <w:rPr>
          <w:strike/>
          <w:sz w:val="24"/>
          <w:szCs w:val="24"/>
        </w:rPr>
        <w:t xml:space="preserve"> </w:t>
      </w:r>
    </w:p>
    <w:p w:rsidR="007A6D2A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Produtos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Biológicos;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</w:p>
    <w:p w:rsidR="00B4533B" w:rsidRPr="006918D0" w:rsidRDefault="00466C3C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b)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Gerência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Sangue,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Tecidos,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Células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Órgãos.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TÍTULO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III</w:t>
      </w:r>
      <w:r w:rsidR="004B0A57" w:rsidRPr="006918D0">
        <w:rPr>
          <w:b/>
          <w:strike/>
          <w:sz w:val="24"/>
          <w:szCs w:val="24"/>
        </w:rPr>
        <w:t xml:space="preserve"> </w:t>
      </w:r>
    </w:p>
    <w:p w:rsidR="00326D17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DIRETORIA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COLEGIADA</w:t>
      </w:r>
      <w:r w:rsidR="004B0A57" w:rsidRPr="006918D0">
        <w:rPr>
          <w:b/>
          <w:strike/>
          <w:sz w:val="24"/>
          <w:szCs w:val="24"/>
        </w:rPr>
        <w:t xml:space="preserve"> </w:t>
      </w:r>
    </w:p>
    <w:p w:rsidR="00096030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  <w:r w:rsidR="004B0A57" w:rsidRPr="006918D0">
        <w:rPr>
          <w:b/>
          <w:strike/>
          <w:sz w:val="24"/>
          <w:szCs w:val="24"/>
        </w:rPr>
        <w:t xml:space="preserve"> </w:t>
      </w:r>
    </w:p>
    <w:p w:rsidR="00B4533B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COMPOSIÇÃO</w:t>
      </w:r>
    </w:p>
    <w:p w:rsidR="007F3EE8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bookmarkStart w:id="1" w:name="art2"/>
      <w:bookmarkEnd w:id="1"/>
      <w:r w:rsidRPr="006918D0">
        <w:rPr>
          <w:rFonts w:ascii="Times New Roman" w:hAnsi="Times New Roman" w:cs="Times New Roman"/>
          <w:strike/>
        </w:rPr>
        <w:t xml:space="preserve">Art. 5º. A Diretoria Colegiada, o órgão máximo da Anvisa, é composta por cinco Diretores, dentre os quais um será nomeado Diretor-Presidente, nos termos da Lei nº 9.782, de 26 de janeiro de 1999. </w:t>
      </w:r>
    </w:p>
    <w:p w:rsidR="00B4533B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6º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dirigida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16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9.782,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1999.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COMPETÊNCIAS</w:t>
      </w:r>
    </w:p>
    <w:p w:rsidR="00466C3C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7º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Colegiada: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seleção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ocupantes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periódicos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profissional;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vigor;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imóveis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4B24F1" w:rsidRPr="006918D0">
        <w:rPr>
          <w:rFonts w:ascii="Times New Roman" w:hAnsi="Times New Roman" w:cs="Times New Roman"/>
          <w:strike/>
        </w:rPr>
        <w:t>s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concurso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</w:t>
      </w:r>
      <w:r w:rsidR="004B24F1" w:rsidRPr="006918D0">
        <w:rPr>
          <w:rFonts w:ascii="Times New Roman" w:hAnsi="Times New Roman" w:cs="Times New Roman"/>
          <w:strike/>
        </w:rPr>
        <w:t>o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EE2ED8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 - avaliar o desempenho d</w:t>
      </w:r>
      <w:r w:rsidR="00876761" w:rsidRPr="006918D0">
        <w:rPr>
          <w:rFonts w:ascii="Times New Roman" w:hAnsi="Times New Roman" w:cs="Times New Roman"/>
          <w:strike/>
        </w:rPr>
        <w:t>as unidades e órgãos da Agência.</w:t>
      </w:r>
    </w:p>
    <w:p w:rsidR="00B4533B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</w:t>
      </w:r>
      <w:r w:rsidR="00CC1B43" w:rsidRPr="006918D0">
        <w:rPr>
          <w:rFonts w:ascii="Times New Roman" w:hAnsi="Times New Roman" w:cs="Times New Roman"/>
          <w:strike/>
        </w:rPr>
        <w:t>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C1B43"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C1B43" w:rsidRPr="006918D0">
        <w:rPr>
          <w:rFonts w:ascii="Times New Roman" w:hAnsi="Times New Roman" w:cs="Times New Roman"/>
          <w:strike/>
        </w:rPr>
        <w:t>administrativa.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096030" w:rsidRPr="006918D0" w:rsidRDefault="00D07C0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FUNCIONAMENTO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COLEGIADA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113B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Obrigações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Diretores</w:t>
      </w:r>
    </w:p>
    <w:p w:rsidR="00096030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8º</w:t>
      </w:r>
      <w:r w:rsidR="00D77AB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manifesta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lhe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permitido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abster-se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nenhuma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ressalvados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impedim</w:t>
      </w:r>
      <w:r w:rsidR="001E4FEA" w:rsidRPr="006918D0">
        <w:rPr>
          <w:rFonts w:ascii="Times New Roman" w:hAnsi="Times New Roman" w:cs="Times New Roman"/>
          <w:strike/>
        </w:rPr>
        <w:t>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suspeição,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4FEA" w:rsidRPr="006918D0">
        <w:rPr>
          <w:rFonts w:ascii="Times New Roman" w:hAnsi="Times New Roman" w:cs="Times New Roman"/>
          <w:strike/>
        </w:rPr>
        <w:t>31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096030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incumbido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função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Relator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deverá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apresentar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a</w:t>
      </w:r>
      <w:r w:rsidR="00096030" w:rsidRPr="006918D0">
        <w:rPr>
          <w:rFonts w:ascii="Times New Roman" w:hAnsi="Times New Roman" w:cs="Times New Roman"/>
          <w:strike/>
        </w:rPr>
        <w:t>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2</w:t>
      </w:r>
      <w:r w:rsidR="00096030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artigo.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§ 2º Os votos deverão trazer ementa e ter motivação explícita, clara e congruente, podendo consistir em declaração de concordância com fundamentos de anteriores pareceres, informações, decisões ou propostas, que neste caso serão parte integrante do ato.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Deliberações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Funcionamento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096030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I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Disposições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Gerais</w:t>
      </w:r>
    </w:p>
    <w:p w:rsidR="00EE2ED8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9º. As deliberações da Diretoria Colegiada serão tomadas por maioria dos presentes em Reuniões, internas ou públicas, ou Circuitos Deliberativos, devendo ser registradas em atas próprias. </w:t>
      </w:r>
    </w:p>
    <w:p w:rsidR="00876761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 1º Os votos já proferidos por Diretores que estejam ausentes ou cujo mandato já se tenha encerrado serão lev</w:t>
      </w:r>
      <w:r w:rsidR="00876761" w:rsidRPr="006918D0">
        <w:rPr>
          <w:rFonts w:ascii="Times New Roman" w:hAnsi="Times New Roman" w:cs="Times New Roman"/>
          <w:strike/>
        </w:rPr>
        <w:t>ados em conta nas deliberações.</w:t>
      </w:r>
    </w:p>
    <w:p w:rsidR="00876761" w:rsidRPr="006918D0" w:rsidRDefault="00EE2ED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2º Não votará o Diretor cujo antecessor já tenha proferido voto sobre a matéria. </w:t>
      </w:r>
    </w:p>
    <w:p w:rsidR="00042282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35583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reunir–se–á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três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maioria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876761" w:rsidRPr="006918D0">
        <w:rPr>
          <w:rFonts w:ascii="Times New Roman" w:hAnsi="Times New Roman" w:cs="Times New Roman"/>
          <w:strike/>
        </w:rPr>
        <w:t>simples.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divergentes,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haver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maioria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qualquer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solução,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reabrir-se-ão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debates,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colhendo-se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42282" w:rsidRPr="006918D0" w:rsidRDefault="00042282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 único. Em caso de persistência do empate após os novos debates, o Diretor-Presidente proferirá voto de qualidade</w:t>
      </w:r>
      <w:r w:rsidR="00F06785" w:rsidRPr="006918D0">
        <w:rPr>
          <w:rFonts w:ascii="Times New Roman" w:hAnsi="Times New Roman" w:cs="Times New Roman"/>
          <w:strike/>
        </w:rPr>
        <w:t>.</w:t>
      </w:r>
    </w:p>
    <w:p w:rsidR="001609F8" w:rsidRPr="006918D0" w:rsidRDefault="001609F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41A66" w:rsidRPr="006918D0">
        <w:rPr>
          <w:rFonts w:ascii="Times New Roman" w:hAnsi="Times New Roman" w:cs="Times New Roman"/>
          <w:strike/>
        </w:rPr>
        <w:t>11</w:t>
      </w:r>
      <w:r w:rsidR="00232F8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calendário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períodos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seguinte.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23F89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Reuniões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Circuito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Deliberativo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821F1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12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reunir–se–á,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ordinariamente,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extraordinariamente,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convocação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Diretores.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1B5C23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transmitidas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232F8F" w:rsidRPr="006918D0" w:rsidRDefault="00232F8F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</w:t>
      </w:r>
      <w:r w:rsidR="00106EFA" w:rsidRPr="006918D0">
        <w:rPr>
          <w:rFonts w:ascii="Times New Roman" w:hAnsi="Times New Roman" w:cs="Times New Roman"/>
          <w:strike/>
        </w:rPr>
        <w:t>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Deliberativo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06EFA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 xml:space="preserve">Procurador-Chefe </w:t>
      </w:r>
      <w:r w:rsidR="00106EFA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106EFA" w:rsidRPr="006918D0">
        <w:rPr>
          <w:rFonts w:ascii="Times New Roman" w:hAnsi="Times New Roman" w:cs="Times New Roman"/>
          <w:strike/>
        </w:rPr>
        <w:t>.</w:t>
      </w:r>
    </w:p>
    <w:p w:rsidR="00106EFA" w:rsidRPr="006918D0" w:rsidRDefault="00106E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Procurador-Chefe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específicas.</w:t>
      </w:r>
      <w:r w:rsidR="004B0A57" w:rsidRPr="006918D0">
        <w:rPr>
          <w:rFonts w:ascii="Times New Roman" w:hAnsi="Times New Roman" w:cs="Times New Roman"/>
          <w:strike/>
        </w:rPr>
        <w:t xml:space="preserve">  </w:t>
      </w:r>
    </w:p>
    <w:p w:rsidR="00C11352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4</w:t>
      </w:r>
      <w:r w:rsidR="00F444E0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convocados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esclarecimentos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Diretores</w:t>
      </w:r>
      <w:r w:rsidR="00106EFA" w:rsidRPr="006918D0">
        <w:rPr>
          <w:rFonts w:ascii="Times New Roman" w:hAnsi="Times New Roman" w:cs="Times New Roman"/>
          <w:strike/>
        </w:rPr>
        <w:t>.</w:t>
      </w:r>
    </w:p>
    <w:p w:rsidR="00F55AC4" w:rsidRPr="006918D0" w:rsidRDefault="00F55AC4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13. O Diretor–Presidente presidirá as reuniões da Diretoria Colegiada e, em suas ausências ou impedimentos eventuais, o seu substituto o fará. </w:t>
      </w:r>
    </w:p>
    <w:p w:rsidR="00042282" w:rsidRPr="006918D0" w:rsidRDefault="00042282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14. A distribuição de matérias para os Diretores será realizada de forma igualitária, por sorteio, mediante sistema informatizado, observados o princípio da publicidade. </w:t>
      </w:r>
    </w:p>
    <w:p w:rsidR="00042282" w:rsidRPr="006918D0" w:rsidRDefault="00042282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1º O sorteio será realizado de forma aleatória conforme o tipo de procedimento administrativo objeto da matéria levada à decisão da Diretoria Colegiada.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Haverá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sorteio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durante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período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sorteadas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sorteio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sítio 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sorteio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extraordinário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houver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indisponibilidade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informatizado,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deverá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utilizado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outro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procedimento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sorteio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garanta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444E0" w:rsidRPr="006918D0">
        <w:rPr>
          <w:rFonts w:ascii="Times New Roman" w:hAnsi="Times New Roman" w:cs="Times New Roman"/>
          <w:strike/>
        </w:rPr>
        <w:t>caput.</w:t>
      </w:r>
    </w:p>
    <w:p w:rsidR="00457451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Far-se-á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férias,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licenciados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15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(quinze)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F444E0" w:rsidRPr="006918D0" w:rsidRDefault="00F444E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vacância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lhe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distribuídas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redistribuídas</w:t>
      </w:r>
      <w:r w:rsidR="00EE55C9" w:rsidRPr="006918D0">
        <w:rPr>
          <w:rFonts w:ascii="Times New Roman" w:hAnsi="Times New Roman" w:cs="Times New Roman"/>
          <w:strike/>
        </w:rPr>
        <w:t>.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distribuídas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urgentes,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causar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prejuízos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irreversíveis,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férias,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licenciado.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</w:t>
      </w:r>
      <w:r w:rsidR="00F26BFE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devidamente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justificados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sorteio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C11352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 10. O Diretor poderá solicitar à Diretoria Colegiada sua exclusão de sorteios no período de 60 (sessenta) dias que anteceder a o fim de seu mandato.</w:t>
      </w:r>
    </w:p>
    <w:p w:rsidR="00523F89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II</w:t>
      </w:r>
      <w:r w:rsidR="00EF7A89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Reuniões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Presenciais</w:t>
      </w:r>
    </w:p>
    <w:p w:rsidR="00096030" w:rsidRPr="006918D0" w:rsidRDefault="000E212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15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calendário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ordinárias,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alterações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sobrevierem,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indicará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horário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permanecerá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disponível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096030"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eventual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utilização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favoreçam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ampla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divulgação,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assim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entender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pertinente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B954EC" w:rsidRPr="006918D0" w:rsidRDefault="00B113BB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ordinária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presencial,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feita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antecedência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mínima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5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(cinco)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úteis,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constando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tratadas,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interessados,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seguidos,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relevantes.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11352" w:rsidRPr="006918D0" w:rsidRDefault="00C11352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1º Excepcionalmente, para tratar de matéria relevante e urgente cuja omissão possa causar prejuízos irreversíveis, o Diretor-Presidente, ou dois Diretores, poderão convocar Reunião de caráter extraordinário, com antecedência mínima de 24 (vinte e quatro) horas. </w:t>
      </w:r>
    </w:p>
    <w:p w:rsidR="00096030" w:rsidRPr="006918D0" w:rsidRDefault="00B113BB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</w:t>
      </w:r>
      <w:r w:rsidR="00096030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solicitarão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8048AD" w:rsidRPr="006918D0">
        <w:rPr>
          <w:rFonts w:ascii="Times New Roman" w:hAnsi="Times New Roman" w:cs="Times New Roman"/>
          <w:strike/>
        </w:rPr>
        <w:t>à Secretaria da Diretoria Colegiada 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itens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113BB" w:rsidRPr="006918D0" w:rsidRDefault="00B113BB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</w:t>
      </w:r>
      <w:r w:rsidR="002F34FA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inclusão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itens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8048AD" w:rsidRPr="006918D0">
        <w:rPr>
          <w:rFonts w:ascii="Times New Roman" w:hAnsi="Times New Roman" w:cs="Times New Roman"/>
          <w:strike/>
        </w:rPr>
        <w:t xml:space="preserve">não previstos na pauta publicada </w:t>
      </w:r>
      <w:r w:rsidR="00B954EC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apresentada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apreciada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4EC" w:rsidRPr="006918D0">
        <w:rPr>
          <w:rFonts w:ascii="Times New Roman" w:hAnsi="Times New Roman" w:cs="Times New Roman"/>
          <w:strike/>
        </w:rPr>
        <w:t>Colegiada.</w:t>
      </w:r>
    </w:p>
    <w:p w:rsidR="00B113BB" w:rsidRPr="006918D0" w:rsidRDefault="00B113BB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pauta</w:t>
      </w:r>
      <w:r w:rsidR="008048AD" w:rsidRPr="006918D0">
        <w:rPr>
          <w:rFonts w:ascii="Times New Roman" w:hAnsi="Times New Roman" w:cs="Times New Roman"/>
          <w:strike/>
        </w:rPr>
        <w:t xml:space="preserve"> até o início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votação.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</w:t>
      </w:r>
      <w:r w:rsidR="008048AD" w:rsidRPr="006918D0">
        <w:rPr>
          <w:rFonts w:ascii="Times New Roman" w:hAnsi="Times New Roman" w:cs="Times New Roman"/>
          <w:strike/>
        </w:rPr>
        <w:t>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realiza</w:t>
      </w:r>
      <w:r w:rsidR="008048AD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preferencialmente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salvo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95E0C" w:rsidRPr="006918D0">
        <w:rPr>
          <w:rFonts w:ascii="Times New Roman" w:hAnsi="Times New Roman" w:cs="Times New Roman"/>
          <w:strike/>
        </w:rPr>
        <w:t>comunicando-se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interessados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local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realização.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ampla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protegido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intimidade,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dignidade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alguém,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conteúdos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restritas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procuradores.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sítio 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(cinco)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úteis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após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cópia,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anterior.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audiovisual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D67613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2E43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assegurad</w:t>
      </w:r>
      <w:r w:rsidR="00AC2E43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qualquer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servidor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presença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local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designado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desde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identificado,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observados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eventuais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limites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físicos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67613" w:rsidRPr="006918D0">
        <w:rPr>
          <w:rFonts w:ascii="Times New Roman" w:hAnsi="Times New Roman" w:cs="Times New Roman"/>
          <w:strike/>
        </w:rPr>
        <w:t>exce</w:t>
      </w:r>
      <w:r w:rsidR="003E73DD" w:rsidRPr="006918D0">
        <w:rPr>
          <w:rFonts w:ascii="Times New Roman" w:hAnsi="Times New Roman" w:cs="Times New Roman"/>
          <w:strike/>
        </w:rPr>
        <w:t>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E73DD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E73DD"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E73DD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E73DD" w:rsidRPr="006918D0">
        <w:rPr>
          <w:rFonts w:ascii="Times New Roman" w:hAnsi="Times New Roman" w:cs="Times New Roman"/>
          <w:strike/>
        </w:rPr>
        <w:t>sigilo.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observada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preferencialmente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seguinte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ordem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procedimentos: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número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Procurador-</w:t>
      </w:r>
      <w:r w:rsidR="00236150" w:rsidRPr="006918D0">
        <w:rPr>
          <w:rFonts w:ascii="Times New Roman" w:hAnsi="Times New Roman" w:cs="Times New Roman"/>
          <w:strike/>
        </w:rPr>
        <w:t xml:space="preserve">Chefe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>reuniões anteriores</w:t>
      </w:r>
      <w:r w:rsidRPr="006918D0">
        <w:rPr>
          <w:rFonts w:ascii="Times New Roman" w:hAnsi="Times New Roman" w:cs="Times New Roman"/>
          <w:strike/>
        </w:rPr>
        <w:t>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orais;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destacadas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Diretores;</w:t>
      </w:r>
    </w:p>
    <w:p w:rsidR="00C616A6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itens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>não previstos na pauta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urgência;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>e</w:t>
      </w:r>
    </w:p>
    <w:p w:rsidR="00AC2E43" w:rsidRPr="006918D0" w:rsidRDefault="00C616A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pauta.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19. O Diretor relator apresentará relatório do caso discutido, após o que o Diretor–Presidente concederá oportunidade para manifestação oral previamente aprovada pela Diretoria, seguindo-se o debate entre os Diretores. 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1º Encerrado o debate, o Diretor Relator poderá solicitar à Diretoria Colegiada, por uma única vez, o adiamento da deliberação para a próxima Reunião, interna ou pública. 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2º A análise do Diretor Relator e os demais documentos relativos às matérias constantes da pauta da Reunião deverão ser distribuídos aos demais Diretores com antecedência mínima de 3 (três) dias úteis de sua realização. 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20.  Cada ato a ser submetido à decisão da Diretoria Colegiada deverá ter a respectiva Proposta de Ato para Decisão, resumindo o seu conteúdo e a apreciação jurídica. 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Art. 21. Cada Diretor deverá apresentar seu voto fundamentado, por matéria, oralmente ou por escrito, devendo o Diretor-Presidente computar os votos e proclamar o resultado. </w:t>
      </w:r>
    </w:p>
    <w:p w:rsidR="00236150" w:rsidRPr="006918D0" w:rsidRDefault="0023615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 único. A matéria não decidida por insuficiência de quórum será incluída na pauta da Reunião subsequente.</w:t>
      </w:r>
    </w:p>
    <w:p w:rsidR="00B4533B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>22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maioria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presentes,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suspensa,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fixando-se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horário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 xml:space="preserve">para a sua </w:t>
      </w:r>
      <w:r w:rsidR="00096030" w:rsidRPr="006918D0">
        <w:rPr>
          <w:rFonts w:ascii="Times New Roman" w:hAnsi="Times New Roman" w:cs="Times New Roman"/>
          <w:strike/>
        </w:rPr>
        <w:t>reabertura.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E78AF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F7A89"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Manifestações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Reuniões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Presenciais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D67613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</w:t>
      </w:r>
      <w:r w:rsidR="007F3EE8" w:rsidRPr="006918D0">
        <w:rPr>
          <w:rFonts w:ascii="Times New Roman" w:hAnsi="Times New Roman" w:cs="Times New Roman"/>
          <w:strike/>
        </w:rPr>
        <w:t>3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interessados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requerer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sustentação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oral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manifestação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específico,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endereço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disponibilizado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fim,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antecedência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mínima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02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(dois)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úteis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horário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previsto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início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A6D2A" w:rsidRPr="006918D0">
        <w:rPr>
          <w:rFonts w:ascii="Times New Roman" w:hAnsi="Times New Roman" w:cs="Times New Roman"/>
          <w:strike/>
        </w:rPr>
        <w:t>reunião</w:t>
      </w:r>
      <w:r w:rsidR="007436A1" w:rsidRPr="006918D0">
        <w:rPr>
          <w:rFonts w:ascii="Times New Roman" w:hAnsi="Times New Roman" w:cs="Times New Roman"/>
          <w:strike/>
        </w:rPr>
        <w:t>.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24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itens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apenas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interessadas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requerer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sustentação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23615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25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 xml:space="preserve">de sustentação oral </w:t>
      </w:r>
      <w:r w:rsidR="00096030" w:rsidRPr="006918D0">
        <w:rPr>
          <w:rFonts w:ascii="Times New Roman" w:hAnsi="Times New Roman" w:cs="Times New Roman"/>
          <w:strike/>
        </w:rPr>
        <w:t>deve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especificar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36150" w:rsidRPr="006918D0">
        <w:rPr>
          <w:rFonts w:ascii="Times New Roman" w:hAnsi="Times New Roman" w:cs="Times New Roman"/>
          <w:strike/>
        </w:rPr>
        <w:t xml:space="preserve">a que se refere, bem como trazer a identificação do responsável pela manifestação. </w:t>
      </w:r>
    </w:p>
    <w:p w:rsidR="00D475BB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26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sustentação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oral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permitida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única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vez,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tempo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delimitado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critério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2E43" w:rsidRPr="006918D0">
        <w:rPr>
          <w:rFonts w:ascii="Times New Roman" w:hAnsi="Times New Roman" w:cs="Times New Roman"/>
          <w:strike/>
        </w:rPr>
        <w:t>Diretor-Presidente</w:t>
      </w:r>
      <w:r w:rsidR="00D475BB"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interrupção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exclusivamente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destacada,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ocasião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relatoria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iniciado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475BB" w:rsidRPr="006918D0">
        <w:rPr>
          <w:rFonts w:ascii="Times New Roman" w:hAnsi="Times New Roman" w:cs="Times New Roman"/>
          <w:strike/>
        </w:rPr>
        <w:t>deliberativo.</w:t>
      </w:r>
    </w:p>
    <w:p w:rsidR="00AC4C53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27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pedido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manifestação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oral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apreciado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cabimento,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legitimidade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tempestividade.</w:t>
      </w:r>
    </w:p>
    <w:p w:rsidR="00096030" w:rsidRPr="006918D0" w:rsidRDefault="00B113BB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deverão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motivados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encaminhados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29</w:t>
      </w:r>
      <w:r w:rsidR="00B113BB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 </w:t>
      </w:r>
      <w:r w:rsidR="00096030"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recebidos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durante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reunião.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23F89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V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Pedido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vistas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581351" w:rsidRPr="006918D0" w:rsidRDefault="007F3EE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 30</w:t>
      </w:r>
      <w:r w:rsidR="00581351" w:rsidRPr="006918D0">
        <w:rPr>
          <w:rFonts w:ascii="Times New Roman" w:hAnsi="Times New Roman" w:cs="Times New Roman"/>
          <w:strike/>
        </w:rPr>
        <w:t xml:space="preserve">. O Diretor que entender necessário poderá pedir vista do processo administrativo. </w:t>
      </w:r>
    </w:p>
    <w:p w:rsidR="00581351" w:rsidRPr="006918D0" w:rsidRDefault="00581351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1º A vista será concedida uma única vez por Diretor, pelo prazo de duas reuniões ordinárias públicas, sendo automaticamente inscrito o item na pauta da reunião subsequente, salvo necessidade de maior prazo devidamente fundamentada pelo Diretor que solicitou o pedido de vista. </w:t>
      </w:r>
    </w:p>
    <w:p w:rsidR="00B4533B" w:rsidRPr="006918D0" w:rsidRDefault="00581351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§ 2º Na fluência do prazo, os autos ficarão disponíveis para consulta dos Diretores no Gabinete do Diretor Relator. </w:t>
      </w:r>
    </w:p>
    <w:p w:rsidR="00096030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70158F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V</w:t>
      </w:r>
      <w:r w:rsidR="0070158F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Circuitos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Deliberativos</w:t>
      </w:r>
    </w:p>
    <w:p w:rsidR="00096030" w:rsidRPr="006918D0" w:rsidRDefault="002F34F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31</w:t>
      </w:r>
      <w:r w:rsidR="000E2129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apreciadas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71B65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definidas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já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consolidado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desnecessário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debate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tratar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relevante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urgente,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cuja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causar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prejuízos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irreversíveis.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625985" w:rsidRPr="006918D0" w:rsidRDefault="00625985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levada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presencial,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proporcionar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debate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suscitadas.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81351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A1148" w:rsidRPr="006918D0">
        <w:rPr>
          <w:rFonts w:ascii="Times New Roman" w:hAnsi="Times New Roman" w:cs="Times New Roman"/>
          <w:strike/>
        </w:rPr>
        <w:t>5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A1148" w:rsidRPr="006918D0">
        <w:rPr>
          <w:rFonts w:ascii="Times New Roman" w:hAnsi="Times New Roman" w:cs="Times New Roman"/>
          <w:strike/>
        </w:rPr>
        <w:t>(cinco</w:t>
      </w:r>
      <w:r w:rsidR="00366FD7" w:rsidRPr="006918D0">
        <w:rPr>
          <w:rFonts w:ascii="Times New Roman" w:hAnsi="Times New Roman" w:cs="Times New Roman"/>
          <w:strike/>
        </w:rPr>
        <w:t>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A1148" w:rsidRPr="006918D0">
        <w:rPr>
          <w:rFonts w:ascii="Times New Roman" w:hAnsi="Times New Roman" w:cs="Times New Roman"/>
          <w:strike/>
        </w:rPr>
        <w:t>dias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A1148" w:rsidRPr="006918D0">
        <w:rPr>
          <w:rFonts w:ascii="Times New Roman" w:hAnsi="Times New Roman" w:cs="Times New Roman"/>
          <w:strike/>
        </w:rPr>
        <w:t>úteis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</w:t>
      </w:r>
      <w:r w:rsidR="00366FD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66FD7" w:rsidRPr="006918D0">
        <w:rPr>
          <w:rFonts w:ascii="Times New Roman" w:hAnsi="Times New Roman" w:cs="Times New Roman"/>
          <w:strike/>
        </w:rPr>
        <w:t>abertura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Deliberativo.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B954EC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81351" w:rsidRPr="006918D0">
        <w:rPr>
          <w:rFonts w:ascii="Times New Roman" w:hAnsi="Times New Roman" w:cs="Times New Roman"/>
          <w:strike/>
        </w:rPr>
        <w:t>3</w:t>
      </w:r>
      <w:r w:rsidR="00096030" w:rsidRPr="006918D0">
        <w:rPr>
          <w:rFonts w:ascii="Times New Roman" w:hAnsi="Times New Roman" w:cs="Times New Roman"/>
          <w:strike/>
        </w:rPr>
        <w:t>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considerado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ausente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encerramento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Circuito,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66FD7" w:rsidRPr="006918D0">
        <w:rPr>
          <w:rFonts w:ascii="Times New Roman" w:hAnsi="Times New Roman" w:cs="Times New Roman"/>
          <w:strike/>
        </w:rPr>
        <w:t>proferir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</w:t>
      </w:r>
      <w:r w:rsidR="00366FD7" w:rsidRPr="006918D0">
        <w:rPr>
          <w:rStyle w:val="Refdecomentrio"/>
          <w:rFonts w:ascii="Times New Roman" w:hAnsi="Times New Roman"/>
          <w:strike/>
          <w:sz w:val="24"/>
        </w:rPr>
        <w:t>.</w:t>
      </w:r>
    </w:p>
    <w:p w:rsidR="00581351" w:rsidRPr="006918D0" w:rsidRDefault="00581351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 4º Caso não seja formada maioria de votos ao fim do prazo previsto no §3º, a matéria será incluída na pauta da reunião subsequente.</w:t>
      </w:r>
    </w:p>
    <w:p w:rsidR="00B4533B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32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definido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específica.</w:t>
      </w:r>
    </w:p>
    <w:p w:rsidR="00096030" w:rsidRPr="006918D0" w:rsidRDefault="006C0393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VI</w:t>
      </w:r>
      <w:r w:rsidR="0070158F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Ata</w:t>
      </w:r>
    </w:p>
    <w:p w:rsidR="00096030" w:rsidRPr="006918D0" w:rsidRDefault="0023306A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33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atas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reuniões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presenciais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Circuito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Deliberativo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assinadas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pelo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Diretor-Presidente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ou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seu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substituto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legal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após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aprovação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Colegiada,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seguintes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informações: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dia,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hora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local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realização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F568BD" w:rsidRPr="006918D0">
        <w:rPr>
          <w:strike/>
          <w:sz w:val="24"/>
          <w:szCs w:val="24"/>
        </w:rPr>
        <w:t xml:space="preserve">a identificação de </w:t>
      </w:r>
      <w:r w:rsidRPr="006918D0">
        <w:rPr>
          <w:strike/>
          <w:sz w:val="24"/>
          <w:szCs w:val="24"/>
        </w:rPr>
        <w:t>quem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presidiu;</w:t>
      </w:r>
      <w:r w:rsidR="004B0A57" w:rsidRPr="006918D0">
        <w:rPr>
          <w:strike/>
          <w:sz w:val="24"/>
          <w:szCs w:val="24"/>
          <w:lang w:eastAsia="en-US"/>
        </w:rPr>
        <w:t xml:space="preserve"> </w:t>
      </w:r>
    </w:p>
    <w:p w:rsidR="00096030" w:rsidRPr="006918D0" w:rsidRDefault="00096030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nome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Diretores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demais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participantes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presentes;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resultado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exame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cada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assunto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constante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pauta,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respectiva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votação,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indicando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eventuais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impedimentos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ou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suspeições;</w:t>
      </w:r>
      <w:r w:rsidR="004B0A57" w:rsidRPr="006918D0">
        <w:rPr>
          <w:strike/>
          <w:sz w:val="24"/>
          <w:szCs w:val="24"/>
        </w:rPr>
        <w:t xml:space="preserve"> </w:t>
      </w:r>
      <w:r w:rsidR="00F568BD" w:rsidRPr="006918D0">
        <w:rPr>
          <w:strike/>
          <w:sz w:val="24"/>
          <w:szCs w:val="24"/>
        </w:rPr>
        <w:t>e</w:t>
      </w:r>
    </w:p>
    <w:p w:rsidR="00096030" w:rsidRPr="006918D0" w:rsidRDefault="00096030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assuntos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constantes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pauta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foram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deliberados.</w:t>
      </w:r>
      <w:r w:rsidR="004B0A57" w:rsidRPr="006918D0">
        <w:rPr>
          <w:strike/>
          <w:sz w:val="24"/>
          <w:szCs w:val="24"/>
        </w:rPr>
        <w:t xml:space="preserve"> </w:t>
      </w:r>
    </w:p>
    <w:p w:rsidR="00646572" w:rsidRPr="006918D0" w:rsidRDefault="008B0776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1º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atas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disponibilizadas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sítio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eletrônico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Agência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15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(quinze)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úteis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após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encerramento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reunião,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onde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permanecerão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durante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mínimo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um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ano.</w:t>
      </w:r>
      <w:r w:rsidR="004B0A57" w:rsidRPr="006918D0">
        <w:rPr>
          <w:strike/>
          <w:sz w:val="24"/>
          <w:szCs w:val="24"/>
        </w:rPr>
        <w:t xml:space="preserve"> </w:t>
      </w:r>
    </w:p>
    <w:p w:rsidR="00B4533B" w:rsidRPr="006918D0" w:rsidRDefault="00646572" w:rsidP="00523F89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2º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atas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arquivadas,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mantidas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arquivo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pelo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previsto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legislação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específica.</w:t>
      </w:r>
    </w:p>
    <w:p w:rsidR="00C24D7A" w:rsidRPr="006918D0" w:rsidRDefault="00B954EC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</w:t>
      </w:r>
      <w:r w:rsidR="0070158F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Conversão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Deliberação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Diligência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096030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34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entender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adicional,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apresentará,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voto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Conversão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Diligência.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35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Aprovada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Conversão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Diligência,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deverá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específico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diligência.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6E1180" w:rsidRPr="006918D0" w:rsidRDefault="00552E49" w:rsidP="00B4533B">
      <w:pPr>
        <w:pStyle w:val="NormalWeb"/>
        <w:tabs>
          <w:tab w:val="center" w:pos="4890"/>
          <w:tab w:val="left" w:pos="6190"/>
        </w:tabs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70158F" w:rsidRPr="006918D0">
        <w:rPr>
          <w:rFonts w:ascii="Times New Roman" w:hAnsi="Times New Roman" w:cs="Times New Roman"/>
          <w:b/>
          <w:strike/>
        </w:rPr>
        <w:t>IX</w:t>
      </w:r>
    </w:p>
    <w:p w:rsidR="00B4533B" w:rsidRPr="006918D0" w:rsidRDefault="006E118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271B65" w:rsidRPr="006918D0">
        <w:rPr>
          <w:rFonts w:ascii="Times New Roman" w:hAnsi="Times New Roman" w:cs="Times New Roman"/>
          <w:b/>
          <w:strike/>
        </w:rPr>
        <w:t xml:space="preserve">Delegação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271B65" w:rsidRPr="006918D0">
        <w:rPr>
          <w:rFonts w:ascii="Times New Roman" w:hAnsi="Times New Roman" w:cs="Times New Roman"/>
          <w:b/>
          <w:strike/>
        </w:rPr>
        <w:t xml:space="preserve">Avocação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271B65" w:rsidRPr="006918D0">
        <w:rPr>
          <w:rFonts w:ascii="Times New Roman" w:hAnsi="Times New Roman" w:cs="Times New Roman"/>
          <w:b/>
          <w:strike/>
        </w:rPr>
        <w:t xml:space="preserve">Competência </w:t>
      </w:r>
    </w:p>
    <w:p w:rsidR="00B4533B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36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delegação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avocação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formalizadas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Portaria,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publicada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Oficial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disponível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A46F9" w:rsidRPr="006918D0" w:rsidRDefault="007A46F9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</w:t>
      </w:r>
    </w:p>
    <w:p w:rsidR="00096030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37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decisões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Agência,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quando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proferidas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pela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Diretoria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Colegiada,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cabe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interposição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</w:t>
      </w:r>
      <w:r w:rsidR="00F568BD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1º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será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dirigido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autoridade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proferiu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decisão,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qual,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reconsiderar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5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(</w:t>
      </w:r>
      <w:r w:rsidRPr="006918D0">
        <w:rPr>
          <w:strike/>
          <w:sz w:val="24"/>
          <w:szCs w:val="24"/>
        </w:rPr>
        <w:t>cinco</w:t>
      </w:r>
      <w:r w:rsidR="00271B65" w:rsidRPr="006918D0">
        <w:rPr>
          <w:strike/>
          <w:sz w:val="24"/>
          <w:szCs w:val="24"/>
        </w:rPr>
        <w:t>)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dias,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encaminhará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autoridade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superior.</w:t>
      </w:r>
      <w:r w:rsidR="004B0A57" w:rsidRPr="006918D0">
        <w:rPr>
          <w:strike/>
          <w:sz w:val="24"/>
          <w:szCs w:val="24"/>
        </w:rPr>
        <w:t xml:space="preserve"> </w:t>
      </w:r>
    </w:p>
    <w:p w:rsidR="00F568BD" w:rsidRPr="006918D0" w:rsidRDefault="00F568BD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7F3EE8" w:rsidRPr="006918D0">
        <w:rPr>
          <w:strike/>
          <w:sz w:val="24"/>
          <w:szCs w:val="24"/>
        </w:rPr>
        <w:t xml:space="preserve"> 2º</w:t>
      </w:r>
      <w:r w:rsidRPr="006918D0">
        <w:rPr>
          <w:strike/>
          <w:sz w:val="24"/>
          <w:szCs w:val="24"/>
        </w:rPr>
        <w:t xml:space="preserve"> A retratação deverá ser feita por meio de nova decisão fundamentada, que deverá ser encaminhada aos interessados.</w:t>
      </w:r>
    </w:p>
    <w:p w:rsidR="00F568BD" w:rsidRPr="006918D0" w:rsidRDefault="00F568BD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 xml:space="preserve">§ 3º Em caso de retratação parcial, a decisão deve explicitar a parte retratada, bem como a ratificar os demais termos da decisão recorrida. 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4</w:t>
      </w:r>
      <w:r w:rsidRPr="006918D0">
        <w:rPr>
          <w:strike/>
          <w:sz w:val="24"/>
          <w:szCs w:val="24"/>
        </w:rPr>
        <w:t>º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exercício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juízo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retratação</w:t>
      </w:r>
      <w:r w:rsidR="004C0E82" w:rsidRPr="006918D0">
        <w:rPr>
          <w:strike/>
          <w:sz w:val="24"/>
          <w:szCs w:val="24"/>
        </w:rPr>
        <w:t>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refere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§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1º</w:t>
      </w:r>
      <w:r w:rsidR="004C0E82" w:rsidRPr="006918D0">
        <w:rPr>
          <w:strike/>
          <w:sz w:val="24"/>
          <w:szCs w:val="24"/>
        </w:rPr>
        <w:t>,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ensejar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expedição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um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novo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Parecer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Decisório,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este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opera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efeito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substitutivo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relação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Parecer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Decisório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recorrido,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devendo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interessado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ser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informado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nova</w:t>
      </w:r>
      <w:r w:rsidR="004B0A57" w:rsidRPr="006918D0">
        <w:rPr>
          <w:strike/>
          <w:sz w:val="24"/>
          <w:szCs w:val="24"/>
        </w:rPr>
        <w:t xml:space="preserve"> </w:t>
      </w:r>
      <w:r w:rsidR="004C0E82" w:rsidRPr="006918D0">
        <w:rPr>
          <w:strike/>
          <w:sz w:val="24"/>
          <w:szCs w:val="24"/>
        </w:rPr>
        <w:t>decisão.</w:t>
      </w:r>
    </w:p>
    <w:p w:rsidR="00F568BD" w:rsidRPr="006918D0" w:rsidRDefault="00F568BD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 5º Cabe ao Diretor-Presidente decidir sobre a concessão de efeito suspensivo nos recursos  administrativos cuja decisão compita à Diretoria Colegiada.</w:t>
      </w:r>
    </w:p>
    <w:p w:rsidR="00F568BD" w:rsidRPr="006918D0" w:rsidRDefault="00F568BD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§ 6º Os recursos referentes a licitações e contratos administrativos observam a legislação específica da matéria.</w:t>
      </w:r>
    </w:p>
    <w:p w:rsidR="00096030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38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dentre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outras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hipóteses,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será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conhecido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quando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interposto: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fora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prazo;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quem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seja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legitimado;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III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por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ausência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interesse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recursal;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e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IV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-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após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exaurida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esfera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administrativa</w:t>
      </w:r>
      <w:r w:rsidR="007F3EE8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Parágrafo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único.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conhecimento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impede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Administração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rever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ofício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ilegal,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desde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que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ocorrida</w:t>
      </w:r>
      <w:r w:rsidR="004B0A57" w:rsidRPr="006918D0">
        <w:rPr>
          <w:strike/>
          <w:sz w:val="24"/>
          <w:szCs w:val="24"/>
        </w:rPr>
        <w:t xml:space="preserve"> </w:t>
      </w:r>
      <w:r w:rsidR="00566AAD" w:rsidRPr="006918D0">
        <w:rPr>
          <w:strike/>
          <w:sz w:val="24"/>
          <w:szCs w:val="24"/>
        </w:rPr>
        <w:t>a decadência</w:t>
      </w:r>
      <w:r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39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titulares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direito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forem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interessados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processo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têm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legitimidade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para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interposição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473EE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Parágrafo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único.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direito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interposição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é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condicionado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prévia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participação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recorrente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processo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qual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tenha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resultado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decisão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recorrida.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40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irrecorríveis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esfera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atos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mero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expediente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ou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preparatórios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decisões,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despachos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ordinatórios,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bem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como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informes,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opinativos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Procuradoria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análises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ou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votos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Diretores.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41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dirigido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autoridade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regimentalmente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incompetente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deverá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recebido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encaminhado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à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autoridade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competente,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prejuízo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interposição.</w:t>
      </w:r>
      <w:r w:rsidR="004B0A57" w:rsidRPr="006918D0">
        <w:rPr>
          <w:strike/>
          <w:sz w:val="24"/>
          <w:szCs w:val="24"/>
        </w:rPr>
        <w:t xml:space="preserve"> </w:t>
      </w:r>
    </w:p>
    <w:p w:rsidR="006E1180" w:rsidRPr="006918D0" w:rsidRDefault="00096030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42</w:t>
      </w:r>
      <w:r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administrativo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será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recebido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efeito</w:t>
      </w:r>
      <w:r w:rsidR="004B0A57" w:rsidRPr="006918D0">
        <w:rPr>
          <w:strike/>
          <w:sz w:val="24"/>
          <w:szCs w:val="24"/>
        </w:rPr>
        <w:t xml:space="preserve"> </w:t>
      </w:r>
      <w:r w:rsidRPr="006918D0">
        <w:rPr>
          <w:strike/>
          <w:sz w:val="24"/>
          <w:szCs w:val="24"/>
        </w:rPr>
        <w:t>suspensivo.</w:t>
      </w:r>
    </w:p>
    <w:p w:rsidR="00096030" w:rsidRPr="006918D0" w:rsidRDefault="007F3EE8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Parágrafo único.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autoridade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afastará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efeito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suspensivo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quando,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análise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preliminar,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forem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considerados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relevantes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fundamentos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decisão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recorrida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inexecução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recorrido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puder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resultar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em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risco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sanitário.</w:t>
      </w:r>
      <w:r w:rsidR="004B0A57" w:rsidRPr="006918D0">
        <w:rPr>
          <w:strike/>
          <w:sz w:val="24"/>
          <w:szCs w:val="24"/>
        </w:rPr>
        <w:t xml:space="preserve"> </w:t>
      </w:r>
    </w:p>
    <w:p w:rsidR="00B4533B" w:rsidRPr="006918D0" w:rsidRDefault="0023306A" w:rsidP="00523F89">
      <w:pPr>
        <w:spacing w:after="200"/>
        <w:ind w:firstLine="567"/>
        <w:jc w:val="both"/>
        <w:rPr>
          <w:strike/>
          <w:sz w:val="24"/>
          <w:szCs w:val="24"/>
        </w:rPr>
      </w:pPr>
      <w:r w:rsidRPr="006918D0">
        <w:rPr>
          <w:strike/>
          <w:sz w:val="24"/>
          <w:szCs w:val="24"/>
        </w:rPr>
        <w:t>Art.</w:t>
      </w:r>
      <w:r w:rsidR="004B0A57" w:rsidRPr="006918D0">
        <w:rPr>
          <w:strike/>
          <w:sz w:val="24"/>
          <w:szCs w:val="24"/>
        </w:rPr>
        <w:t xml:space="preserve"> </w:t>
      </w:r>
      <w:r w:rsidR="007F3EE8" w:rsidRPr="006918D0">
        <w:rPr>
          <w:strike/>
          <w:sz w:val="24"/>
          <w:szCs w:val="24"/>
        </w:rPr>
        <w:t>43</w:t>
      </w:r>
      <w:r w:rsidR="00096030" w:rsidRPr="006918D0">
        <w:rPr>
          <w:strike/>
          <w:sz w:val="24"/>
          <w:szCs w:val="24"/>
        </w:rPr>
        <w:t>.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Quando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lei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fixar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diferente,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recurso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administrativo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deverá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decidido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no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prazo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30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(trinta)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dias,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a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partir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de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seu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recebimento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pelo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órgão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competente,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podendo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ser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prorrogado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por</w:t>
      </w:r>
      <w:r w:rsidR="004B0A57" w:rsidRPr="006918D0">
        <w:rPr>
          <w:strike/>
          <w:sz w:val="24"/>
          <w:szCs w:val="24"/>
        </w:rPr>
        <w:t xml:space="preserve"> </w:t>
      </w:r>
      <w:r w:rsidR="00814B32" w:rsidRPr="006918D0">
        <w:rPr>
          <w:strike/>
          <w:sz w:val="24"/>
          <w:szCs w:val="24"/>
        </w:rPr>
        <w:t xml:space="preserve">uma única vez e por </w:t>
      </w:r>
      <w:r w:rsidR="00096030" w:rsidRPr="006918D0">
        <w:rPr>
          <w:strike/>
          <w:sz w:val="24"/>
          <w:szCs w:val="24"/>
        </w:rPr>
        <w:t>igual</w:t>
      </w:r>
      <w:r w:rsidR="004B0A57" w:rsidRPr="006918D0">
        <w:rPr>
          <w:strike/>
          <w:sz w:val="24"/>
          <w:szCs w:val="24"/>
        </w:rPr>
        <w:t xml:space="preserve"> </w:t>
      </w:r>
      <w:r w:rsidR="00096030" w:rsidRPr="006918D0">
        <w:rPr>
          <w:strike/>
          <w:sz w:val="24"/>
          <w:szCs w:val="24"/>
        </w:rPr>
        <w:t>período.</w:t>
      </w:r>
      <w:r w:rsidR="004B0A57" w:rsidRPr="006918D0">
        <w:rPr>
          <w:strike/>
          <w:sz w:val="24"/>
          <w:szCs w:val="24"/>
        </w:rPr>
        <w:t xml:space="preserve"> </w:t>
      </w:r>
    </w:p>
    <w:p w:rsidR="00096030" w:rsidRPr="006918D0" w:rsidRDefault="006E118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7A46F9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Diretores</w:t>
      </w:r>
    </w:p>
    <w:p w:rsidR="00096030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Art.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7F3EE8" w:rsidRPr="006918D0">
        <w:rPr>
          <w:rFonts w:ascii="Times New Roman" w:hAnsi="Times New Roman" w:cs="Times New Roman"/>
          <w:strike/>
          <w:lang w:eastAsia="en-US"/>
        </w:rPr>
        <w:t>44</w:t>
      </w:r>
      <w:r w:rsidR="00096030" w:rsidRPr="006918D0">
        <w:rPr>
          <w:rFonts w:ascii="Times New Roman" w:hAnsi="Times New Roman" w:cs="Times New Roman"/>
          <w:strike/>
          <w:lang w:eastAsia="en-US"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atribuições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comuns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Diretores: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cumprir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fazer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cumprir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disposições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legais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regulamentares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âmbito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atribuições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C1949" w:rsidRPr="006918D0">
        <w:rPr>
          <w:rFonts w:ascii="Times New Roman" w:hAnsi="Times New Roman" w:cs="Times New Roman"/>
          <w:strike/>
          <w:lang w:eastAsia="en-US"/>
        </w:rPr>
        <w:t>Anvisa</w:t>
      </w:r>
      <w:r w:rsidRPr="006918D0">
        <w:rPr>
          <w:rFonts w:ascii="Times New Roman" w:hAnsi="Times New Roman" w:cs="Times New Roman"/>
          <w:strike/>
          <w:lang w:eastAsia="en-US"/>
        </w:rPr>
        <w:t>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zelar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pelo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desenvolvimento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credibilidade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C1949" w:rsidRPr="006918D0">
        <w:rPr>
          <w:rFonts w:ascii="Times New Roman" w:hAnsi="Times New Roman" w:cs="Times New Roman"/>
          <w:strike/>
          <w:lang w:eastAsia="en-US"/>
        </w:rPr>
        <w:t>Anvisa</w:t>
      </w:r>
      <w:r w:rsidRPr="006918D0">
        <w:rPr>
          <w:rFonts w:ascii="Times New Roman" w:hAnsi="Times New Roman" w:cs="Times New Roman"/>
          <w:strike/>
          <w:lang w:eastAsia="en-US"/>
        </w:rPr>
        <w:t>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pela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legitimidade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ações;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zelar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pelo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cumprimento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planejamento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estratégico,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Contrato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Gestão,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iniciativas,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planos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programas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C1949" w:rsidRPr="006918D0">
        <w:rPr>
          <w:rFonts w:ascii="Times New Roman" w:hAnsi="Times New Roman" w:cs="Times New Roman"/>
          <w:strike/>
          <w:lang w:eastAsia="en-US"/>
        </w:rPr>
        <w:t>Anvisa</w:t>
      </w:r>
      <w:r w:rsidRPr="006918D0">
        <w:rPr>
          <w:rFonts w:ascii="Times New Roman" w:hAnsi="Times New Roman" w:cs="Times New Roman"/>
          <w:strike/>
          <w:lang w:eastAsia="en-US"/>
        </w:rPr>
        <w:t>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praticar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expedir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gestão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administrativa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âmbito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competência;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solicitar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inscrição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retirada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itens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pauta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reuniões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bem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solicitar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vistas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alteração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fórum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deliberação;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participar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decisórios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âmbito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sendo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permitida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abstenção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qualquer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matéria,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exceto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quando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declarado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impedimento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4D2D00" w:rsidRPr="006918D0">
        <w:rPr>
          <w:rFonts w:ascii="Times New Roman" w:hAnsi="Times New Roman" w:cs="Times New Roman"/>
          <w:strike/>
          <w:lang w:eastAsia="en-US"/>
        </w:rPr>
        <w:t>ou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4D2D00" w:rsidRPr="006918D0">
        <w:rPr>
          <w:rFonts w:ascii="Times New Roman" w:hAnsi="Times New Roman" w:cs="Times New Roman"/>
          <w:strike/>
          <w:lang w:eastAsia="en-US"/>
        </w:rPr>
        <w:t>suspeição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legal;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contribuir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subsídios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proposta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ajustes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modificações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legislação,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necessários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modernização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ambiente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institucional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atuação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C1949" w:rsidRPr="006918D0">
        <w:rPr>
          <w:rFonts w:ascii="Times New Roman" w:hAnsi="Times New Roman" w:cs="Times New Roman"/>
          <w:strike/>
          <w:lang w:eastAsia="en-US"/>
        </w:rPr>
        <w:t>Anvisa</w:t>
      </w:r>
      <w:r w:rsidRPr="006918D0">
        <w:rPr>
          <w:rFonts w:ascii="Times New Roman" w:hAnsi="Times New Roman" w:cs="Times New Roman"/>
          <w:strike/>
          <w:lang w:eastAsia="en-US"/>
        </w:rPr>
        <w:t>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C90CE8" w:rsidRPr="006918D0" w:rsidRDefault="00C90CE8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-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Diretor-Presidente,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desdobramentos</w:t>
      </w:r>
      <w:r w:rsidR="00155D37" w:rsidRPr="006918D0">
        <w:rPr>
          <w:rFonts w:ascii="Times New Roman" w:hAnsi="Times New Roman" w:cs="Times New Roman"/>
          <w:strike/>
        </w:rPr>
        <w:t>;</w:t>
      </w:r>
    </w:p>
    <w:p w:rsidR="00C90CE8" w:rsidRPr="006918D0" w:rsidRDefault="006E118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</w:t>
      </w:r>
      <w:r w:rsidR="00C90CE8" w:rsidRPr="006918D0">
        <w:rPr>
          <w:rFonts w:ascii="Times New Roman" w:hAnsi="Times New Roman" w:cs="Times New Roman"/>
          <w:strike/>
          <w:lang w:eastAsia="en-US"/>
        </w:rPr>
        <w:t>X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determinar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estudo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envio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informações,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convocar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agentes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públicos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71B65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esclarecimentos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C90CE8" w:rsidRPr="006918D0">
        <w:rPr>
          <w:rFonts w:ascii="Times New Roman" w:hAnsi="Times New Roman" w:cs="Times New Roman"/>
          <w:strike/>
        </w:rPr>
        <w:t>Colegiada</w:t>
      </w:r>
      <w:r w:rsidR="00155D37" w:rsidRPr="006918D0">
        <w:rPr>
          <w:rFonts w:ascii="Times New Roman" w:hAnsi="Times New Roman" w:cs="Times New Roman"/>
          <w:strike/>
        </w:rPr>
        <w:t>;</w:t>
      </w:r>
    </w:p>
    <w:p w:rsidR="000275F5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X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propor,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conjunto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outro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alterações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4B24F1" w:rsidRPr="006918D0">
        <w:rPr>
          <w:rFonts w:ascii="Times New Roman" w:hAnsi="Times New Roman" w:cs="Times New Roman"/>
          <w:strike/>
          <w:lang w:eastAsia="en-US"/>
        </w:rPr>
        <w:t>Regimento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interno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3436D3" w:rsidRPr="006918D0">
        <w:rPr>
          <w:rFonts w:ascii="Times New Roman" w:hAnsi="Times New Roman" w:cs="Times New Roman"/>
          <w:strike/>
          <w:lang w:eastAsia="en-US"/>
        </w:rPr>
        <w:t>Agência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6E118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XI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presidir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comitês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ou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grupos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trabalho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criados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pela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apresentando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seus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resultados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para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apreciação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órgão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155D37" w:rsidRPr="006918D0">
        <w:rPr>
          <w:rFonts w:ascii="Times New Roman" w:hAnsi="Times New Roman" w:cs="Times New Roman"/>
          <w:strike/>
          <w:lang w:eastAsia="en-US"/>
        </w:rPr>
        <w:t>colegiado;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 </w:t>
      </w:r>
    </w:p>
    <w:p w:rsidR="00096030" w:rsidRPr="006918D0" w:rsidRDefault="006E118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requisitar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diligências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contempladas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Art.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7F3EE8" w:rsidRPr="006918D0">
        <w:rPr>
          <w:rFonts w:ascii="Times New Roman" w:hAnsi="Times New Roman" w:cs="Times New Roman"/>
          <w:strike/>
          <w:lang w:eastAsia="en-US"/>
        </w:rPr>
        <w:t>45</w:t>
      </w:r>
      <w:r w:rsidR="00256A08" w:rsidRPr="006918D0">
        <w:rPr>
          <w:rFonts w:ascii="Times New Roman" w:hAnsi="Times New Roman" w:cs="Times New Roman"/>
          <w:strike/>
          <w:lang w:eastAsia="en-US"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agendas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Diretores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deverão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publicadas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sítio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eletrônico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Agência,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diariamente,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observado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disposto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legislação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específica.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7A46F9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Adjuntos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Diretores</w:t>
      </w:r>
    </w:p>
    <w:p w:rsidR="00096030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Art.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7F3EE8" w:rsidRPr="006918D0">
        <w:rPr>
          <w:rFonts w:ascii="Times New Roman" w:hAnsi="Times New Roman" w:cs="Times New Roman"/>
          <w:strike/>
          <w:lang w:eastAsia="en-US"/>
        </w:rPr>
        <w:t>46</w:t>
      </w:r>
      <w:r w:rsidR="00096030" w:rsidRPr="006918D0">
        <w:rPr>
          <w:rFonts w:ascii="Times New Roman" w:hAnsi="Times New Roman" w:cs="Times New Roman"/>
          <w:strike/>
          <w:lang w:eastAsia="en-US"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atribuições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Adjuntos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Diretores: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assistir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desempenho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funções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regimentais;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7A46F9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814B32" w:rsidRPr="006918D0">
        <w:rPr>
          <w:rFonts w:ascii="Times New Roman" w:hAnsi="Times New Roman" w:cs="Times New Roman"/>
          <w:strike/>
          <w:lang w:eastAsia="en-US"/>
        </w:rPr>
        <w:t>desempenhar competências eventualmente delegadas pelo Diretor, no limite da legislação aplicável</w:t>
      </w:r>
      <w:r w:rsidRPr="006918D0">
        <w:rPr>
          <w:rFonts w:ascii="Times New Roman" w:hAnsi="Times New Roman" w:cs="Times New Roman"/>
          <w:strike/>
          <w:lang w:eastAsia="en-US"/>
        </w:rPr>
        <w:t>;</w:t>
      </w:r>
    </w:p>
    <w:p w:rsidR="000275F5" w:rsidRPr="006918D0" w:rsidRDefault="0006745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participar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reuniões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incluindo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circuito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deliberativo</w:t>
      </w:r>
      <w:r w:rsidR="00155D37" w:rsidRPr="006918D0">
        <w:rPr>
          <w:rFonts w:ascii="Times New Roman" w:hAnsi="Times New Roman" w:cs="Times New Roman"/>
          <w:strike/>
          <w:lang w:eastAsia="en-US"/>
        </w:rPr>
        <w:t>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analisar,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acompanhar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opinar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sobre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pauta,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votos,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pareceres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outros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documentos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submetidos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apoiando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seu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decisão;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auxiliar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3436D3" w:rsidRPr="006918D0">
        <w:rPr>
          <w:rFonts w:ascii="Times New Roman" w:hAnsi="Times New Roman" w:cs="Times New Roman"/>
          <w:strike/>
          <w:lang w:eastAsia="en-US"/>
        </w:rPr>
        <w:t>D</w:t>
      </w:r>
      <w:r w:rsidRPr="006918D0">
        <w:rPr>
          <w:rFonts w:ascii="Times New Roman" w:hAnsi="Times New Roman" w:cs="Times New Roman"/>
          <w:strike/>
          <w:lang w:eastAsia="en-US"/>
        </w:rPr>
        <w:t>iretor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desenvolvimento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implementação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estratégias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adotar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providências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implementação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decisões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coordenar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organização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técnico–administrativas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assistir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edição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normativos.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3436D3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1°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2°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Seção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III</w:t>
      </w:r>
    </w:p>
    <w:p w:rsidR="00B4533B" w:rsidRPr="006918D0" w:rsidRDefault="00096030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Diretor</w:t>
      </w:r>
      <w:r w:rsidR="00714A2A" w:rsidRPr="006918D0">
        <w:rPr>
          <w:b/>
          <w:strike/>
          <w:sz w:val="24"/>
          <w:szCs w:val="24"/>
        </w:rPr>
        <w:sym w:font="Symbol" w:char="F02D"/>
      </w:r>
      <w:r w:rsidRPr="006918D0">
        <w:rPr>
          <w:b/>
          <w:strike/>
          <w:sz w:val="24"/>
          <w:szCs w:val="24"/>
        </w:rPr>
        <w:t>Presidente</w:t>
      </w:r>
    </w:p>
    <w:p w:rsidR="00096030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Art.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7F3EE8" w:rsidRPr="006918D0">
        <w:rPr>
          <w:rFonts w:ascii="Times New Roman" w:hAnsi="Times New Roman" w:cs="Times New Roman"/>
          <w:strike/>
          <w:lang w:eastAsia="en-US"/>
        </w:rPr>
        <w:t>47</w:t>
      </w:r>
      <w:r w:rsidR="00096030" w:rsidRPr="006918D0">
        <w:rPr>
          <w:rFonts w:ascii="Times New Roman" w:hAnsi="Times New Roman" w:cs="Times New Roman"/>
          <w:strike/>
          <w:lang w:eastAsia="en-US"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São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atribuições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096030" w:rsidRPr="006918D0">
        <w:rPr>
          <w:rFonts w:ascii="Times New Roman" w:hAnsi="Times New Roman" w:cs="Times New Roman"/>
          <w:strike/>
          <w:lang w:eastAsia="en-US"/>
        </w:rPr>
        <w:t>Diretor–Presidente: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representar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Agência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juízo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fora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dele;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convocar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reuniões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ordinárias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extraordinárias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III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presidir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reuniões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IV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decidir</w:t>
      </w:r>
      <w:r w:rsidRPr="006918D0">
        <w:rPr>
          <w:rFonts w:ascii="Times New Roman" w:hAnsi="Times New Roman" w:cs="Times New Roman"/>
          <w:i/>
          <w:strike/>
          <w:lang w:eastAsia="en-US"/>
        </w:rPr>
        <w:t>,</w:t>
      </w:r>
      <w:r w:rsidR="004B0A57" w:rsidRPr="006918D0">
        <w:rPr>
          <w:rFonts w:ascii="Times New Roman" w:hAnsi="Times New Roman" w:cs="Times New Roman"/>
          <w:i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i/>
          <w:strike/>
          <w:lang w:eastAsia="en-US"/>
        </w:rPr>
        <w:t>ad–referendum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questões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urgência;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V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decidir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caso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empate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deliberações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VI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praticar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gestão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recursos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humanos,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aprovar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edital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homologar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resultados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concursos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públicos,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nomear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exonerar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servidores,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provendo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cargos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efetivos,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comissão,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funções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confiança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empregos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públicos,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exercer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poder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disciplinar,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nos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termos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legislação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vigor;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VII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encaminhar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Conselho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Consultivo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relatórios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periódicos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elaborados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pela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VIII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instaurar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julgar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administrativo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apuração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responsabilidade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pessoa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jurídica;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IX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praticar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gestão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recursos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orçamentários,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financeiros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administração,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firmar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contratos,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convênios,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acordos,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ajustes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outros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instrumentos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legais;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X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–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atuar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como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ordenador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despesas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3436D3" w:rsidRPr="006918D0">
        <w:rPr>
          <w:rFonts w:ascii="Times New Roman" w:hAnsi="Times New Roman" w:cs="Times New Roman"/>
          <w:strike/>
          <w:lang w:eastAsia="en-US"/>
        </w:rPr>
        <w:t>Agência</w:t>
      </w:r>
      <w:r w:rsidRPr="006918D0">
        <w:rPr>
          <w:rFonts w:ascii="Times New Roman" w:hAnsi="Times New Roman" w:cs="Times New Roman"/>
          <w:strike/>
          <w:lang w:eastAsia="en-US"/>
        </w:rPr>
        <w:t>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XI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-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fazer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cumprir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Plano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Estratégico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Agência,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submetendo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à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apreciação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Diretoria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Colegiada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relatório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acompanhamento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execução;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C14F3E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Presidente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República;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C14F3E" w:rsidRPr="006918D0" w:rsidRDefault="00C14F3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C14F3E" w:rsidRPr="006918D0" w:rsidRDefault="00C14F3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55D37" w:rsidRPr="006918D0">
        <w:rPr>
          <w:rFonts w:ascii="Times New Roman" w:hAnsi="Times New Roman" w:cs="Times New Roman"/>
          <w:strike/>
        </w:rPr>
        <w:t>e</w:t>
      </w:r>
    </w:p>
    <w:p w:rsidR="00067456" w:rsidRPr="006918D0" w:rsidRDefault="0006745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4E46BD" w:rsidRPr="006918D0" w:rsidRDefault="00C14F3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</w:t>
      </w:r>
      <w:r w:rsidR="00612B97" w:rsidRPr="006918D0">
        <w:rPr>
          <w:rFonts w:ascii="Times New Roman" w:hAnsi="Times New Roman" w:cs="Times New Roman"/>
          <w:strike/>
        </w:rPr>
        <w:t>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12B97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12B97"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12B9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12B97"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12B97" w:rsidRPr="006918D0">
        <w:rPr>
          <w:rFonts w:ascii="Times New Roman" w:hAnsi="Times New Roman" w:cs="Times New Roman"/>
          <w:strike/>
        </w:rPr>
        <w:t>específico.</w:t>
      </w:r>
    </w:p>
    <w:p w:rsidR="00096030" w:rsidRPr="006918D0" w:rsidRDefault="0006745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  <w:lang w:eastAsia="en-US"/>
        </w:rPr>
        <w:t>§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2º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Diretor-Presidente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poderá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avocar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quaisquer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assuntos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processos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unidades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organizacionai</w:t>
      </w:r>
      <w:r w:rsidR="002C6B83" w:rsidRPr="006918D0">
        <w:rPr>
          <w:rFonts w:ascii="Times New Roman" w:hAnsi="Times New Roman" w:cs="Times New Roman"/>
          <w:strike/>
          <w:lang w:eastAsia="en-US"/>
        </w:rPr>
        <w:t>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2C6B83" w:rsidRPr="006918D0">
        <w:rPr>
          <w:rFonts w:ascii="Times New Roman" w:hAnsi="Times New Roman" w:cs="Times New Roman"/>
          <w:strike/>
          <w:lang w:eastAsia="en-US"/>
        </w:rPr>
        <w:t>para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2C6B83" w:rsidRPr="006918D0">
        <w:rPr>
          <w:rFonts w:ascii="Times New Roman" w:hAnsi="Times New Roman" w:cs="Times New Roman"/>
          <w:strike/>
          <w:lang w:eastAsia="en-US"/>
        </w:rPr>
        <w:t>deliberação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2C6B83"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2C6B83" w:rsidRPr="006918D0">
        <w:rPr>
          <w:rFonts w:ascii="Times New Roman" w:hAnsi="Times New Roman" w:cs="Times New Roman"/>
          <w:strike/>
          <w:lang w:eastAsia="en-US"/>
        </w:rPr>
        <w:t>Diretoria.</w:t>
      </w:r>
    </w:p>
    <w:p w:rsidR="00B4533B" w:rsidRPr="006918D0" w:rsidRDefault="007A46F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  <w:lang w:eastAsia="en-US"/>
        </w:rPr>
        <w:t>§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3º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Ministro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Estado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Saúde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indicará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um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para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substituir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o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Diretor–Presidente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em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seus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strike/>
          <w:lang w:eastAsia="en-US"/>
        </w:rPr>
        <w:t>impedimentos.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Institucional</w:t>
      </w:r>
    </w:p>
    <w:p w:rsidR="003436D3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48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Institucional: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71E63" w:rsidRPr="006918D0" w:rsidRDefault="00771E63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771E63" w:rsidRPr="006918D0">
        <w:rPr>
          <w:rFonts w:ascii="Times New Roman" w:hAnsi="Times New Roman" w:cs="Times New Roman"/>
          <w:strike/>
        </w:rPr>
        <w:t>I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modernização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771E63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Diretor–Presidente.</w:t>
      </w:r>
    </w:p>
    <w:p w:rsidR="00096030" w:rsidRPr="006918D0" w:rsidRDefault="00BE4D6C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096030"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3436D3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F3EE8" w:rsidRPr="006918D0">
        <w:rPr>
          <w:rFonts w:ascii="Times New Roman" w:hAnsi="Times New Roman" w:cs="Times New Roman"/>
          <w:strike/>
        </w:rPr>
        <w:t>49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Sanitária: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41225" w:rsidRPr="006918D0">
        <w:rPr>
          <w:rFonts w:ascii="Times New Roman" w:hAnsi="Times New Roman" w:cs="Times New Roman"/>
          <w:strike/>
        </w:rPr>
        <w:t>regulatória;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  <w:r w:rsidR="00BE4D6C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Articulação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3436D3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50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Sanitária:</w:t>
      </w:r>
    </w:p>
    <w:p w:rsidR="005C455C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preconizado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A46F9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612B97"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612B97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096030"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41225"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fóruns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  <w:r w:rsidR="00BE4D6C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Autorização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Registro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Sanitários</w:t>
      </w:r>
    </w:p>
    <w:p w:rsidR="00E8327A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51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Sanitários:</w:t>
      </w:r>
    </w:p>
    <w:p w:rsidR="00DB2A1F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isenção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</w:t>
      </w:r>
      <w:r w:rsidR="00771E63" w:rsidRPr="006918D0">
        <w:rPr>
          <w:rFonts w:ascii="Times New Roman" w:hAnsi="Times New Roman" w:cs="Times New Roman"/>
          <w:strike/>
        </w:rPr>
        <w:t>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71E63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71E63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41225" w:rsidRPr="006918D0">
        <w:rPr>
          <w:rFonts w:ascii="Times New Roman" w:hAnsi="Times New Roman" w:cs="Times New Roman"/>
          <w:strike/>
        </w:rPr>
        <w:t>sanitária;</w:t>
      </w:r>
    </w:p>
    <w:p w:rsidR="00DB2A1F" w:rsidRPr="006918D0" w:rsidRDefault="00DB2A1F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 – conceder e cancelar registro de produtos submetidos à vigilância sanitária, bem como expedir demais atos referentes ao registro;</w:t>
      </w:r>
    </w:p>
    <w:p w:rsidR="00DB2A1F" w:rsidRPr="006918D0" w:rsidRDefault="00A446C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DB2A1F" w:rsidRPr="006918D0">
        <w:rPr>
          <w:rFonts w:ascii="Times New Roman" w:hAnsi="Times New Roman" w:cs="Times New Roman"/>
          <w:strike/>
        </w:rPr>
        <w:t xml:space="preserve"> – anuir com ensaios clínicos e pedidos de patente de produtos e processos farmacêuticos; e  </w:t>
      </w:r>
    </w:p>
    <w:p w:rsidR="00B4533B" w:rsidRPr="006918D0" w:rsidRDefault="00A446C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7A46F9"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436D3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Informes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Toxicológica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monografias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ingrediente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domissanitários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preservantes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madeira.</w:t>
      </w:r>
    </w:p>
    <w:p w:rsidR="00096030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</w:t>
      </w:r>
      <w:r w:rsidR="00BE4D6C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096030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Controle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Monitoramento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Sanitários</w:t>
      </w:r>
    </w:p>
    <w:p w:rsidR="00E8327A" w:rsidRPr="006918D0" w:rsidRDefault="0023306A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52</w:t>
      </w:r>
      <w:r w:rsidR="00096030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Sanitários:</w:t>
      </w:r>
    </w:p>
    <w:p w:rsidR="00C14F3E" w:rsidRPr="006918D0" w:rsidRDefault="00096030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</w:t>
      </w:r>
      <w:r w:rsidR="006D1941" w:rsidRPr="006918D0">
        <w:rPr>
          <w:rFonts w:ascii="Times New Roman" w:hAnsi="Times New Roman" w:cs="Times New Roman"/>
          <w:strike/>
        </w:rPr>
        <w:t>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D1941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D1941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D1941" w:rsidRPr="006918D0">
        <w:rPr>
          <w:rFonts w:ascii="Times New Roman" w:hAnsi="Times New Roman" w:cs="Times New Roman"/>
          <w:strike/>
        </w:rPr>
        <w:t>sanitária;</w:t>
      </w:r>
    </w:p>
    <w:p w:rsidR="006D1941" w:rsidRPr="006918D0" w:rsidRDefault="00067456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446C9" w:rsidRPr="006918D0" w:rsidRDefault="00A446C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 – conceder e cancelar Autorizações de Funcionamento e Autorizações Especiais de Funcionamento a empresas e estabelecimentos sujeitos à vigilância sanitária, bem como expedir demais atos referentes a Autorizações de Funcionamento e Autorizações Especiais de Funcionamento;</w:t>
      </w:r>
    </w:p>
    <w:p w:rsidR="00F2241B" w:rsidRPr="006918D0" w:rsidRDefault="00A446C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B2A1F" w:rsidRPr="006918D0">
        <w:rPr>
          <w:rFonts w:ascii="Times New Roman" w:hAnsi="Times New Roman" w:cs="Times New Roman"/>
          <w:strike/>
        </w:rPr>
        <w:t>Certificados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DB2A1F" w:rsidRPr="006918D0">
        <w:rPr>
          <w:rFonts w:ascii="Times New Roman" w:hAnsi="Times New Roman" w:cs="Times New Roman"/>
          <w:strike/>
        </w:rPr>
        <w:t xml:space="preserve">para </w:t>
      </w:r>
      <w:r w:rsidR="00067456" w:rsidRPr="006918D0">
        <w:rPr>
          <w:rFonts w:ascii="Times New Roman" w:hAnsi="Times New Roman" w:cs="Times New Roman"/>
          <w:strike/>
        </w:rPr>
        <w:t>empresas,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pesquisas,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67456" w:rsidRPr="006918D0">
        <w:rPr>
          <w:rFonts w:ascii="Times New Roman" w:hAnsi="Times New Roman" w:cs="Times New Roman"/>
          <w:strike/>
        </w:rPr>
        <w:t>sanitária;</w:t>
      </w:r>
    </w:p>
    <w:p w:rsidR="00096030" w:rsidRPr="006918D0" w:rsidRDefault="0018228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autorização,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18228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A446C9"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habilitar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18228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A446C9"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proibição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suspensão,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medida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fabricação,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importação,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armazenamento,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distribuição,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comercialização,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096030" w:rsidRPr="006918D0" w:rsidRDefault="0018228E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A446C9"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436D3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interdição,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medida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locais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fabricação,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controle,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importação,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armazenamento,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096030" w:rsidRPr="006918D0" w:rsidRDefault="00A446C9" w:rsidP="00523F89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96030" w:rsidRPr="006918D0">
        <w:rPr>
          <w:rFonts w:ascii="Times New Roman" w:hAnsi="Times New Roman" w:cs="Times New Roman"/>
          <w:strike/>
        </w:rPr>
        <w:t>sanitária</w:t>
      </w:r>
      <w:r w:rsidR="004E46BD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TÍTULO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PROCEDIMENTOS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ADMINISTRATIVOS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DISPOSIÇÕES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GERAIS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F55AC4" w:rsidRPr="006918D0">
        <w:rPr>
          <w:rFonts w:ascii="Times New Roman" w:hAnsi="Times New Roman" w:cs="Times New Roman"/>
          <w:strike/>
        </w:rPr>
        <w:t>53</w:t>
      </w:r>
      <w:r w:rsidR="00766277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explícita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administrativos,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manifestar-se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respeito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solicitações,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reclamações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competência.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impedido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que: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indireto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matéria;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testemunha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DB2A1F" w:rsidRPr="006918D0">
        <w:rPr>
          <w:rFonts w:ascii="Times New Roman" w:hAnsi="Times New Roman" w:cs="Times New Roman"/>
          <w:strike/>
        </w:rPr>
        <w:t xml:space="preserve"> da parte interessada</w:t>
      </w:r>
      <w:r w:rsidRPr="006918D0">
        <w:rPr>
          <w:rFonts w:ascii="Times New Roman" w:hAnsi="Times New Roman" w:cs="Times New Roman"/>
          <w:strike/>
        </w:rPr>
        <w:t>,</w:t>
      </w:r>
      <w:r w:rsidR="00DB2A1F" w:rsidRPr="006918D0">
        <w:rPr>
          <w:rFonts w:ascii="Times New Roman" w:hAnsi="Times New Roman" w:cs="Times New Roman"/>
          <w:strike/>
        </w:rPr>
        <w:t xml:space="preserve"> companheiro ou parente até o terceiro grau;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litigando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cônjuge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companheiro.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incorrer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impedimento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comunicar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abstendo-se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atuar</w:t>
      </w:r>
      <w:r w:rsidR="00D35583" w:rsidRPr="006918D0">
        <w:rPr>
          <w:rFonts w:ascii="Times New Roman" w:hAnsi="Times New Roman" w:cs="Times New Roman"/>
          <w:strike/>
        </w:rPr>
        <w:t xml:space="preserve"> no processo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impedimento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disciplinares.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arguida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suspeição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amizade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íntima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inimizade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algum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interessados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respectivos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cônjuges,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companheiros,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parentes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terceiro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grau.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Arguida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aceitá-la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espontaneamente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ocasião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acolhimento.</w:t>
      </w:r>
    </w:p>
    <w:p w:rsidR="00B4533B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alegação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suspensivo.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FORMAS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ORGANIZADAS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ATUAÇÃO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57.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organizadas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766277" w:rsidRPr="006918D0">
        <w:rPr>
          <w:rFonts w:ascii="Times New Roman" w:hAnsi="Times New Roman" w:cs="Times New Roman"/>
          <w:strike/>
        </w:rPr>
        <w:t>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temática,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aspectos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temática,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1771F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recomendações;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temática,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sentido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temática,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1°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instituídas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duração.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membros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civil.</w:t>
      </w:r>
    </w:p>
    <w:p w:rsidR="00B4533B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pleno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DECISÓRIOS,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CORRESPONDÊNCIAS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Decisórios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Colegiada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58.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exerce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presente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manifesta–se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seguintes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decisórios,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assim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qualificados: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consigna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sucinto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período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(CP):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comentários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enviadas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posterior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comentários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presencial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posterior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(RDC):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descumprimento;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(IN):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detalhamento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Aresto: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contenciosa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lhe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precedentes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Súmula: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síntese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interpretação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arestos,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reiteradas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revelando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Despacho: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enumerados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individual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numeração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convocação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B4533B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n.º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9.782,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1999,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Decisórios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Diretor–Presidente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demais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autoridades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59.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exercem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presente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manifestam–se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seguintes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decisórios: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(RE):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homologatórios,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0F7E9B" w:rsidRPr="006918D0">
        <w:rPr>
          <w:rFonts w:ascii="Times New Roman" w:hAnsi="Times New Roman" w:cs="Times New Roman"/>
          <w:strike/>
        </w:rPr>
        <w:t>n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(OS):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detalhamento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Portaria: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Despacho: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monocrática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curso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determina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prosseguimento;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Edital: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chamamento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determinados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abstenção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faculdades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Gerentes–Gerais.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Assessoramento.</w:t>
      </w:r>
    </w:p>
    <w:p w:rsidR="0023306A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Portarias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Diretor-Presidente,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Diretor-Presidente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Despachos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ocupantes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CGE,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CCT,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decisórias,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encarregados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exclusivamente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ocupantes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CGE,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CCT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empregados,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encarregados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hierárquicos,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numeração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11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boletim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12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regulatórios.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Correspondências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60.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Correspondências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7º,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XXV,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9782,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1999,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descumprimento;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Convocação: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estrangeiras;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Memorando: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cidadão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natureza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mesmos,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ampla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débitos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Convocações,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individuais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Gerentes–Gerais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titulares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detentores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confiança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4º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Memorandos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Subprocurador–Chefe,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Gerentes–Gerais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Coordenadores.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Circulares,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simultaneamente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textos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idênticos,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Memorando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assinatura: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Circular;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Adjuntos,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Subprocurador–Chefe,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Gerentes–Gerais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Memorando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Circular.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numeração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expedi–las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incorporadas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B4533B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transmitidas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rapidez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remessa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TÍTULO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ADMINISTRATIVOS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B20729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 PRINCÍPIOS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somente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produzirá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escrito,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vernáculo,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local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assinatura,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gráfica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eletrônica,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competente.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autenticação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cópia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Salvo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houver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dúvida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autenticidade.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deverão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motivados,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indicação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fundamentos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jurídicos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justifiquem,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quando: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neguem,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limitem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interesses;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agravem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encargos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sanções;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decidam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licitação;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inexigibilidade;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decidam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reconsideração;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deixem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jurisprudência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firmado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discrepem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oficiais;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revogação,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convalidação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administrativo.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motivação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explícita,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congruente,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concordância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anteriores,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ato.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mesma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natureza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mecânico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reproduza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prejudique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interessados.</w:t>
      </w:r>
    </w:p>
    <w:p w:rsidR="009B301F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próprios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legalidade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revogá-los,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conveniência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oportunidade,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respeitados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adquiridos.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favoráveis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decai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cinco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salvo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comprovada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má-fé.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patrimoniais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decadência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contar-se-á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percepção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pagamento.</w:t>
      </w:r>
    </w:p>
    <w:p w:rsidR="009B301F" w:rsidRPr="006918D0" w:rsidRDefault="009B301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Considera-se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impugnação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ato.</w:t>
      </w:r>
    </w:p>
    <w:p w:rsidR="00B4533B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apresentarem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poderão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convalidados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própria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desde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acarretem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lesão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prejuízos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terceiros.</w:t>
      </w:r>
      <w:r w:rsidR="004B0A57" w:rsidRPr="006918D0">
        <w:rPr>
          <w:rFonts w:ascii="Times New Roman" w:hAnsi="Times New Roman" w:cs="Times New Roman"/>
          <w:strike/>
          <w:lang w:eastAsia="en-US"/>
        </w:rPr>
        <w:t xml:space="preserve"> 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B70E5A"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CONSELHO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CONSULTIVO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65.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disporá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institucionalizada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sociedade,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denominado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Consultivo.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66.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colegiado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doze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membros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titulares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1771F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respectivos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suplentes,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indicados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10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nomeados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Saúde.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ensejará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Composição</w:t>
      </w:r>
    </w:p>
    <w:p w:rsidR="00766277" w:rsidRPr="006918D0" w:rsidRDefault="0023306A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67</w:t>
      </w:r>
      <w:r w:rsidR="00766277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por: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presidirá;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Agricultura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Abastecimento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Confederação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Indústrias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Confederação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convidados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constituídos;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Confederação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representante.</w:t>
      </w:r>
    </w:p>
    <w:p w:rsidR="00B4533B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voz,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voto.</w:t>
      </w:r>
    </w:p>
    <w:p w:rsidR="00766277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76627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Competências</w:t>
      </w:r>
    </w:p>
    <w:p w:rsidR="00766277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68</w:t>
      </w:r>
      <w:r w:rsidR="00766277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766277" w:rsidRPr="006918D0">
        <w:rPr>
          <w:rFonts w:ascii="Times New Roman" w:hAnsi="Times New Roman" w:cs="Times New Roman"/>
          <w:strike/>
        </w:rPr>
        <w:t>compete: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9.782,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1999.</w:t>
      </w:r>
    </w:p>
    <w:p w:rsidR="00766277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auxiliado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discussões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vigente.</w:t>
      </w:r>
    </w:p>
    <w:p w:rsidR="00B4533B" w:rsidRPr="006918D0" w:rsidRDefault="0076627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maioria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Presidente.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TÍTULO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  <w:r w:rsidR="00B70E5A" w:rsidRPr="006918D0">
        <w:rPr>
          <w:rFonts w:ascii="Times New Roman" w:hAnsi="Times New Roman" w:cs="Times New Roman"/>
          <w:b/>
          <w:strike/>
        </w:rPr>
        <w:t>I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UNIDADES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ORGANIZACIONAIS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B20729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 SECRETARIA EXECUTIVA DA DIRETORIA COLEGIADA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69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Colegiada: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B20729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 GABINETE DO DIRETOR–PRESIDENTE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70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Diretor–Presidente: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continuada;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social;</w:t>
      </w:r>
    </w:p>
    <w:p w:rsidR="005316E4" w:rsidRPr="006918D0" w:rsidRDefault="005316E4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pronunciamentos;</w:t>
      </w:r>
    </w:p>
    <w:p w:rsidR="005316E4" w:rsidRPr="006918D0" w:rsidRDefault="005316E4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5316E4" w:rsidRPr="006918D0" w:rsidRDefault="005316E4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país.</w:t>
      </w:r>
    </w:p>
    <w:p w:rsidR="00761C0D" w:rsidRPr="006918D0" w:rsidRDefault="00761C0D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VIII - promover a articulação e a relação institucional com órgãos governamentais e não governamentais, visando ao fortalecimento da participação social na atuação regulatória da Anvisa; </w:t>
      </w:r>
      <w:r w:rsidRPr="006918D0">
        <w:rPr>
          <w:rFonts w:ascii="Times New Roman" w:hAnsi="Times New Roman" w:cs="Times New Roman"/>
          <w:b/>
          <w:strike/>
          <w:color w:val="0000FF"/>
        </w:rPr>
        <w:t>(Incluído pela Resolução – RDC nº 47, de 6 de novembro de 2015)</w:t>
      </w:r>
    </w:p>
    <w:p w:rsidR="00761C0D" w:rsidRPr="006918D0" w:rsidRDefault="00761C0D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 - assessorar a Diretoria Colegiada perante o Conselho Consultivo, bem como no acompanhamento das atividades do Conselho Nacional de Saúde, das Câmaras Setoriais e demais instâncias de participação e controle social do Sistema Único de Saúde;</w:t>
      </w:r>
      <w:r w:rsidRPr="006918D0">
        <w:rPr>
          <w:rFonts w:ascii="Times New Roman" w:hAnsi="Times New Roman" w:cs="Times New Roman"/>
          <w:b/>
          <w:strike/>
          <w:color w:val="0000FF"/>
        </w:rPr>
        <w:t xml:space="preserve"> (Incluído pela Resolução – RDC nº 47, de 6 de novembro de 2015)</w:t>
      </w:r>
    </w:p>
    <w:p w:rsidR="00761C0D" w:rsidRPr="006918D0" w:rsidRDefault="00761C0D" w:rsidP="00761C0D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 - realizar estudos, elaborar propostas e difundir informações pertinentes à articulação institucional.</w:t>
      </w:r>
      <w:r w:rsidRPr="006918D0">
        <w:rPr>
          <w:rFonts w:ascii="Times New Roman" w:hAnsi="Times New Roman" w:cs="Times New Roman"/>
          <w:b/>
          <w:strike/>
          <w:color w:val="0000FF"/>
        </w:rPr>
        <w:t xml:space="preserve"> (</w:t>
      </w:r>
      <w:r w:rsidR="001519B2" w:rsidRPr="006918D0">
        <w:rPr>
          <w:rFonts w:ascii="Times New Roman" w:hAnsi="Times New Roman" w:cs="Times New Roman"/>
          <w:b/>
          <w:strike/>
          <w:color w:val="0000FF"/>
        </w:rPr>
        <w:t xml:space="preserve">Incluído </w:t>
      </w:r>
      <w:r w:rsidRPr="006918D0">
        <w:rPr>
          <w:rFonts w:ascii="Times New Roman" w:hAnsi="Times New Roman" w:cs="Times New Roman"/>
          <w:b/>
          <w:strike/>
          <w:color w:val="0000FF"/>
        </w:rPr>
        <w:t>pela Resolução – RDC nº 47, de 6 de novembro de 2015)</w:t>
      </w:r>
    </w:p>
    <w:p w:rsidR="005316E4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  <w:lang w:eastAsia="en-US"/>
        </w:rPr>
      </w:pPr>
      <w:r w:rsidRPr="006918D0">
        <w:rPr>
          <w:rFonts w:ascii="Times New Roman" w:hAnsi="Times New Roman" w:cs="Times New Roman"/>
          <w:b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b/>
          <w:strike/>
          <w:lang w:eastAsia="en-US"/>
        </w:rPr>
        <w:t>Chefe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b/>
          <w:strike/>
          <w:lang w:eastAsia="en-US"/>
        </w:rPr>
        <w:t>de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b/>
          <w:strike/>
          <w:lang w:eastAsia="en-US"/>
        </w:rPr>
        <w:t>Gabinete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b/>
          <w:strike/>
          <w:lang w:eastAsia="en-US"/>
        </w:rPr>
        <w:t>do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  <w:r w:rsidRPr="006918D0">
        <w:rPr>
          <w:rFonts w:ascii="Times New Roman" w:hAnsi="Times New Roman" w:cs="Times New Roman"/>
          <w:b/>
          <w:strike/>
          <w:lang w:eastAsia="en-US"/>
        </w:rPr>
        <w:t>Diretor-Presidente</w:t>
      </w:r>
      <w:r w:rsidR="004B0A57" w:rsidRPr="006918D0">
        <w:rPr>
          <w:rFonts w:ascii="Times New Roman" w:hAnsi="Times New Roman" w:cs="Times New Roman"/>
          <w:b/>
          <w:strike/>
          <w:lang w:eastAsia="en-US"/>
        </w:rPr>
        <w:t xml:space="preserve"> 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71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Diretor–Presidente: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despachos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  <w:r w:rsidR="00B70E5A" w:rsidRPr="006918D0">
        <w:rPr>
          <w:rFonts w:ascii="Times New Roman" w:hAnsi="Times New Roman" w:cs="Times New Roman"/>
          <w:strike/>
        </w:rPr>
        <w:t xml:space="preserve"> 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despachar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</w:t>
      </w:r>
      <w:r w:rsidR="004E46BD" w:rsidRPr="006918D0">
        <w:rPr>
          <w:rFonts w:ascii="Times New Roman" w:hAnsi="Times New Roman" w:cs="Times New Roman"/>
          <w:strike/>
        </w:rPr>
        <w:t>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Diretor–Presidente.</w:t>
      </w:r>
    </w:p>
    <w:p w:rsidR="005316E4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Registro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Publicidade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Atos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72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Atos: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economicidade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couber;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numeração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ordinários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banco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Presidência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preconizadas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governo.</w:t>
      </w:r>
    </w:p>
    <w:p w:rsidR="005316E4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Comissão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Ética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1C1949" w:rsidRPr="006918D0">
        <w:rPr>
          <w:rFonts w:ascii="Times New Roman" w:hAnsi="Times New Roman" w:cs="Times New Roman"/>
          <w:b/>
          <w:strike/>
        </w:rPr>
        <w:t>Anvisa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73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Ética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5316E4" w:rsidRPr="006918D0">
        <w:rPr>
          <w:rFonts w:ascii="Times New Roman" w:hAnsi="Times New Roman" w:cs="Times New Roman"/>
          <w:strike/>
        </w:rPr>
        <w:t>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Ética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selecionar,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conservar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recepção,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permanente;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movimentação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alocados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Ética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4E46BD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Apoio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74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Administrativo: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selecionar,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conservar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recepção,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permanente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redigir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corrigir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Chefia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Diretor–Presidente.</w:t>
      </w:r>
    </w:p>
    <w:p w:rsidR="005316E4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Segurança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Institucional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75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Institucional: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orgânica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recepção,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fechado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televigilância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CFTV;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conduzidas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sensível,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corretivas;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inteligência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estejam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órgãos,</w:t>
      </w:r>
      <w:r w:rsidR="0041771F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neutralizar,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coibir,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inibir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reprimir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falsificação,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contrabando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pirataria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5316E4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5316E4"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5316E4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Secretaria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Executiva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Câmara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Mercado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</w:p>
    <w:p w:rsidR="005316E4" w:rsidRPr="006918D0" w:rsidRDefault="001E6067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76</w:t>
      </w:r>
      <w:r w:rsidR="005316E4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316E4" w:rsidRPr="006918D0">
        <w:rPr>
          <w:rFonts w:ascii="Times New Roman" w:hAnsi="Times New Roman" w:cs="Times New Roman"/>
          <w:strike/>
        </w:rPr>
        <w:t>Medicamentos: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CMED;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fixadas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CMED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lhe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conferidas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matérias-primas,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10.742,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2003,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preliminares,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8º,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caput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10.742,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2003,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cabíveis;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membros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Técnico-Executivo;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esclarecimento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CMED;</w:t>
      </w:r>
    </w:p>
    <w:p w:rsidR="005316E4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endereçados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CMED;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5316E4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antecedência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mínima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quarenta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pauta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46BF" w:rsidRPr="006918D0">
        <w:rPr>
          <w:rFonts w:ascii="Times New Roman" w:hAnsi="Times New Roman" w:cs="Times New Roman"/>
          <w:b/>
          <w:strike/>
        </w:rPr>
        <w:t>VII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Comunicação,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Eventos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Cerimonial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77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Cerimonial: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imprensa,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cerimonial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i/>
          <w:iCs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Eventos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Cerimonial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78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Cerimonial: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mesma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multimeios,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eletroeletrônicos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didáticos,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montagem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estandes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mesma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cerimonial,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recepcionar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cerimonial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Imprensa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Comunicação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79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Imprensa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Comunicação: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virtuais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intranet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conteúdo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sítios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intranet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campo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Editorial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Publicidade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Publicidade: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campanhas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diagramar,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gráficos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linguagem,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bibliográficas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originais,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determinações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encaminhá–lo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depósito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catalogação,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International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Standard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Book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Number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ISBN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International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Standard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Serial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Number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ISSN,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determinações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46BF" w:rsidRPr="006918D0">
        <w:rPr>
          <w:rFonts w:ascii="Times New Roman" w:hAnsi="Times New Roman" w:cs="Times New Roman"/>
          <w:b/>
          <w:strike/>
        </w:rPr>
        <w:t>VI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Planejamento</w:t>
      </w:r>
    </w:p>
    <w:p w:rsidR="0044260E" w:rsidRPr="006918D0" w:rsidRDefault="00EB46BF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81</w:t>
      </w:r>
      <w:r w:rsidR="0044260E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4260E" w:rsidRPr="006918D0">
        <w:rPr>
          <w:rFonts w:ascii="Times New Roman" w:hAnsi="Times New Roman" w:cs="Times New Roman"/>
          <w:strike/>
        </w:rPr>
        <w:t>Planejamento: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governamental;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modernização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8F3703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mensuração,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institucionais.</w:t>
      </w:r>
    </w:p>
    <w:p w:rsidR="0044260E" w:rsidRPr="006918D0" w:rsidRDefault="0044260E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Subseção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Programas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Estratégicos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Orçamentária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Orçamentária: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plurianual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resultados;</w:t>
      </w:r>
    </w:p>
    <w:p w:rsidR="0044260E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405B6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controle.</w:t>
      </w:r>
    </w:p>
    <w:p w:rsidR="0044260E" w:rsidRPr="006918D0" w:rsidRDefault="0044260E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Subseção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</w:t>
      </w:r>
    </w:p>
    <w:p w:rsidR="00B4533B" w:rsidRPr="006918D0" w:rsidRDefault="0044260E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Coordenação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Gestão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Qualidade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em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Processos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Organizacionais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governamental;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continuada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  <w:r w:rsidR="00EB46BF" w:rsidRPr="006918D0">
        <w:rPr>
          <w:rFonts w:ascii="Times New Roman" w:hAnsi="Times New Roman" w:cs="Times New Roman"/>
          <w:b/>
          <w:strike/>
        </w:rPr>
        <w:t>X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Articulação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Relações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Institucionais</w:t>
      </w:r>
    </w:p>
    <w:p w:rsidR="00E31331" w:rsidRPr="006918D0" w:rsidRDefault="00E31331" w:rsidP="00E31331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  <w:color w:val="0000FF"/>
        </w:rPr>
      </w:pPr>
      <w:r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  <w:color w:val="0000FF"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84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E31331" w:rsidRPr="006918D0" w:rsidRDefault="0044260E" w:rsidP="00E31331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  <w:color w:val="0000FF"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70E5A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difundir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estejam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micro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pequenos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empreendedores,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microempreendedores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individuais,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empreendedores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agricultura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familiar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economia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solidária,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erradicação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extrema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pobreza;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 xml:space="preserve"> (Revogado pela Resolução – RDC nº 47, de 6 de novembro de 2015)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espaços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E31331" w:rsidRPr="006918D0">
        <w:rPr>
          <w:rFonts w:ascii="Times New Roman" w:hAnsi="Times New Roman" w:cs="Times New Roman"/>
          <w:strike/>
        </w:rPr>
        <w:t xml:space="preserve"> 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>(Revogado pela Resolução – RDC nº 47, de 6 de novembro de 2015)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mobilização,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sentido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institucional.</w:t>
      </w:r>
      <w:r w:rsidR="00E31331" w:rsidRPr="006918D0">
        <w:rPr>
          <w:rFonts w:ascii="Times New Roman" w:hAnsi="Times New Roman" w:cs="Times New Roman"/>
          <w:b/>
          <w:strike/>
          <w:color w:val="0000FF"/>
        </w:rPr>
        <w:t xml:space="preserve"> (Revogado pela Resolução – RDC nº 47, de 6 de novembro de 2015)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46BF" w:rsidRPr="006918D0">
        <w:rPr>
          <w:rFonts w:ascii="Times New Roman" w:hAnsi="Times New Roman" w:cs="Times New Roman"/>
          <w:b/>
          <w:strike/>
        </w:rPr>
        <w:t>X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Assuntos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Internacionais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envolvidos;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incorporação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assumidos;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natureza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blocos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multilaterais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negociações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negociações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Articulação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Internacional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Convergência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Regulatória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negociados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próprios;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negociações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bilaterais,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multilaterais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incorporação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assumidos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pactuadas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incorporação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multilaterais,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coalizão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buscando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Cooperação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Internacional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bilateral,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multilateral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negociar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auxílio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desdobramentos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oriundos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Missões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Internacionais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trâmites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transparência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durante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passaportes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44260E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B70E5A" w:rsidRPr="006918D0">
        <w:rPr>
          <w:rFonts w:ascii="Times New Roman" w:hAnsi="Times New Roman" w:cs="Times New Roman"/>
          <w:b/>
          <w:strike/>
        </w:rPr>
        <w:t>XI</w:t>
      </w:r>
    </w:p>
    <w:p w:rsidR="00B4533B" w:rsidRPr="006918D0" w:rsidRDefault="0044260E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Parlamentar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89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Parlamentar: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interlocução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legislativas;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adequá–las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</w:p>
    <w:p w:rsidR="0044260E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44260E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correspondências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parlamentares.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  <w:r w:rsidR="00EB46BF" w:rsidRPr="006918D0">
        <w:rPr>
          <w:rFonts w:ascii="Times New Roman" w:hAnsi="Times New Roman" w:cs="Times New Roman"/>
          <w:b/>
          <w:strike/>
        </w:rPr>
        <w:t>I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UNIDADES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ORGANIZACIONAIS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ESPECÍFICAS</w:t>
      </w:r>
    </w:p>
    <w:p w:rsidR="00E71ACB" w:rsidRPr="006918D0" w:rsidRDefault="00E71ACB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Procuradoria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Federal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junto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à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1C1949" w:rsidRPr="006918D0">
        <w:rPr>
          <w:rFonts w:ascii="Times New Roman" w:hAnsi="Times New Roman" w:cs="Times New Roman"/>
          <w:b/>
          <w:strike/>
        </w:rPr>
        <w:t>Anvisa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9B301F" w:rsidRPr="006918D0">
        <w:rPr>
          <w:rFonts w:ascii="Times New Roman" w:hAnsi="Times New Roman" w:cs="Times New Roman"/>
          <w:strike/>
        </w:rPr>
        <w:t>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juridicamente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natureza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interveniente;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intimações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D41656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1C1949" w:rsidRPr="006918D0">
        <w:rPr>
          <w:rFonts w:ascii="Times New Roman" w:hAnsi="Times New Roman" w:cs="Times New Roman"/>
          <w:b/>
          <w:strike/>
        </w:rPr>
        <w:t xml:space="preserve">Procurador-Chefe </w:t>
      </w:r>
    </w:p>
    <w:p w:rsidR="00B27C06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91</w:t>
      </w:r>
      <w:r w:rsidR="00B27C06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Procurador–Chefe: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autarquia;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dirimindo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suscitadas;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Advocacia–Geral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atividades–fim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atividades–fim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D41656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Sub</w:t>
      </w:r>
      <w:r w:rsidR="001C1949" w:rsidRPr="006918D0">
        <w:rPr>
          <w:rFonts w:ascii="Times New Roman" w:hAnsi="Times New Roman" w:cs="Times New Roman"/>
          <w:b/>
          <w:strike/>
        </w:rPr>
        <w:t xml:space="preserve">Procurador-Chefe </w:t>
      </w:r>
    </w:p>
    <w:p w:rsidR="00B27C06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92</w:t>
      </w:r>
      <w:r w:rsidR="00B27C06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Subprocurador–Chefe: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finalísticas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estatísticos,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desempenhadas;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Advocacia–Geral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atividades–fim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atividades–fim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B4533B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Parágrafo–único: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substituído,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ausências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Subprocurador–Chefe.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  <w:r w:rsidR="00D41656"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Licitações,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Convênios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Licitações,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Convênios: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9B301F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Consultivo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Consultivo: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interpretação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uniformemente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houver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Advogado–Geral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decretos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provisórias;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D41656"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Assuntos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Judiciais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Judiciais: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intimações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judiciais;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Procurador–Chefe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tange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diligências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D41656"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Dívida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Ativa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Ativa: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após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CADIN;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inscrever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autarquia,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após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descrita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anterior;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repassar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cálculo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débitos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solicitando–os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extraindo–os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autarquia,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apropriadas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suficiência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eventualmente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remetendo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autarquia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façam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autarquia.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Ouvidoria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Ouvidoria: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queixas,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reclamações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veracidade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reclamações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ilegalidades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constatadas;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pactuados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máximo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(cinco)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atraso,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formalizando–a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justificando,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fazê–la;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IV,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couber,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equilíbrio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conflito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alçada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Cidadão;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internacional.</w:t>
      </w:r>
    </w:p>
    <w:p w:rsidR="004E46BD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denunciante,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caso.</w:t>
      </w:r>
    </w:p>
    <w:p w:rsidR="00D41656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Ouvidor</w:t>
      </w:r>
    </w:p>
    <w:p w:rsidR="00B27C06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98</w:t>
      </w:r>
      <w:r w:rsidR="00B27C06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Ouvidor: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Ouvidoria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regimental;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pendências.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Corregedoria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99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Corregedoria: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lhe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fundamentadamente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confirmação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exoneração;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sugerindo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andamento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determinação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sindicâncias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disciplinares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proferindo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B27C06"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competência.</w:t>
      </w:r>
    </w:p>
    <w:p w:rsidR="00D41656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Corregedor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100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Corregedor:</w:t>
      </w:r>
    </w:p>
    <w:p w:rsidR="004E46BD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sindicâncias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disciplinares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30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(trinta)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8.122,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1990.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Auditoria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Interna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101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titulares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auditadas;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extraordinárias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D41656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D41656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Auditor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Chefe</w:t>
      </w:r>
    </w:p>
    <w:p w:rsidR="00B27C06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102</w:t>
      </w:r>
      <w:r w:rsidR="00B27C06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Auditor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B27C06" w:rsidRPr="006918D0">
        <w:rPr>
          <w:rFonts w:ascii="Times New Roman" w:hAnsi="Times New Roman" w:cs="Times New Roman"/>
          <w:strike/>
        </w:rPr>
        <w:t>Chefe: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especiais;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(PAINT),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posteriormente,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(RAINT)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encaminhá–lo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Tribunal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Controladoria–Geral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submetida;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requeiram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suficientemente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proficiente;</w:t>
      </w:r>
    </w:p>
    <w:p w:rsidR="00B27C06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1º.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Federal.</w:t>
      </w:r>
    </w:p>
    <w:p w:rsidR="00B4533B" w:rsidRPr="006918D0" w:rsidRDefault="00B27C06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§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livre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TÍTULO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VII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COMPETÊNCIAS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GERAIS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ESPECÍFICAS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UNIDADES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EXECUTIVAS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COMPETÊNCIAS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COMUNS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UNIDADES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EXECUTIVAS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Seção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Superintendências</w:t>
      </w:r>
    </w:p>
    <w:p w:rsidR="00323C3D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EB46BF" w:rsidRPr="006918D0">
        <w:rPr>
          <w:rFonts w:ascii="Times New Roman" w:hAnsi="Times New Roman" w:cs="Times New Roman"/>
          <w:strike/>
        </w:rPr>
        <w:t>103</w:t>
      </w:r>
      <w:r w:rsidR="00323C3D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comuns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Superintendências: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mensuração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interagir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firmados;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regimentais;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enquadramento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B4533B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323C3D" w:rsidRPr="006918D0" w:rsidRDefault="00323C3D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="00B20729" w:rsidRPr="006918D0">
        <w:rPr>
          <w:b/>
          <w:strike/>
          <w:sz w:val="24"/>
          <w:szCs w:val="24"/>
        </w:rPr>
        <w:t>II</w:t>
      </w:r>
    </w:p>
    <w:p w:rsidR="00B4533B" w:rsidRPr="006918D0" w:rsidRDefault="00323C3D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UNIDADES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EXECUTIVAS</w:t>
      </w:r>
    </w:p>
    <w:p w:rsidR="00323C3D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</w:t>
      </w:r>
      <w:r w:rsidR="00EB46BF" w:rsidRPr="006918D0">
        <w:rPr>
          <w:rFonts w:ascii="Times New Roman" w:hAnsi="Times New Roman" w:cs="Times New Roman"/>
          <w:strike/>
        </w:rPr>
        <w:t>4</w:t>
      </w:r>
      <w:r w:rsidR="00323C3D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comuns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323C3D" w:rsidRPr="006918D0">
        <w:rPr>
          <w:rFonts w:ascii="Times New Roman" w:hAnsi="Times New Roman" w:cs="Times New Roman"/>
          <w:strike/>
        </w:rPr>
        <w:t>Executivas: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mensuração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firmados;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através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fóruns,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271B65" w:rsidRPr="006918D0">
        <w:rPr>
          <w:rFonts w:ascii="Times New Roman" w:hAnsi="Times New Roman" w:cs="Times New Roman"/>
          <w:strike/>
        </w:rPr>
        <w:t>Agência</w:t>
      </w:r>
      <w:r w:rsidRPr="006918D0">
        <w:rPr>
          <w:rFonts w:ascii="Times New Roman" w:hAnsi="Times New Roman" w:cs="Times New Roman"/>
          <w:strike/>
        </w:rPr>
        <w:t>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,divulgar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latino–americanos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mensuração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323C3D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cabíveis,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atuação.</w:t>
      </w:r>
    </w:p>
    <w:p w:rsidR="00B4533B" w:rsidRPr="006918D0" w:rsidRDefault="00323C3D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descritas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aplicam–se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Gabinete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E46BD" w:rsidRPr="006918D0">
        <w:rPr>
          <w:rFonts w:ascii="Times New Roman" w:hAnsi="Times New Roman" w:cs="Times New Roman"/>
          <w:strike/>
        </w:rPr>
        <w:t>couber</w:t>
      </w:r>
      <w:r w:rsidR="002670EE"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TÍTULO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VI</w:t>
      </w:r>
      <w:r w:rsidR="00B20729" w:rsidRPr="006918D0">
        <w:rPr>
          <w:b/>
          <w:strike/>
          <w:sz w:val="24"/>
          <w:szCs w:val="24"/>
        </w:rPr>
        <w:t>II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COMPETÊNCIAS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ESPECÍFICAS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UNIDADES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EXECUTIVAS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CORRELATOS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ALIMENTOS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</w:t>
      </w:r>
      <w:r w:rsidR="00686FF4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Correlatos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Alimentos: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ampliação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1E6067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1E6067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correlatos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Correlatos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Alimentos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</w:t>
      </w:r>
      <w:r w:rsidR="00686FF4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Analise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Correlatos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Alimentos: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razões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submetê–los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paradigma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Súmulas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Pesquisa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Clínica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Correlatos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Alimentos</w:t>
      </w:r>
    </w:p>
    <w:p w:rsidR="009B301F" w:rsidRPr="006918D0" w:rsidRDefault="001E6067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10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Correlatos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Alimentos: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humanos;</w:t>
      </w:r>
    </w:p>
    <w:p w:rsidR="001E6067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interagir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Alimentos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10</w:t>
      </w:r>
      <w:r w:rsidR="00686FF4" w:rsidRPr="006918D0">
        <w:rPr>
          <w:rFonts w:ascii="Times New Roman" w:hAnsi="Times New Roman" w:cs="Times New Roman"/>
          <w:strike/>
        </w:rPr>
        <w:t>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bebidas,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águas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envasadas,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matérias–primas,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coadjuvantes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contaminantes,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resíduos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veterinários,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durante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alternativas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eficazes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tragam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ganhos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queixas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saudável,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aleitamento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materno;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Agricultura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(FAO),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(OMS),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Codex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Alimentarius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técnico-científico;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microempreendedor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individual,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familiar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rural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solidário;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Avaliação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Risco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Eficácia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para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Alegações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10</w:t>
      </w:r>
      <w:r w:rsidR="00686FF4" w:rsidRPr="006918D0">
        <w:rPr>
          <w:rFonts w:ascii="Times New Roman" w:hAnsi="Times New Roman" w:cs="Times New Roman"/>
          <w:strike/>
        </w:rPr>
        <w:t>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Alegações: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bebidas,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águas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envasadas,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matérias–primas,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coadjuvantes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contaminantes,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resíduos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veterinários,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alegações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alegações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banco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23764C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revalidação,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isenção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I;</w:t>
      </w:r>
    </w:p>
    <w:p w:rsidR="009B301F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contemple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bebidas,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águas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envasadas,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embalagens,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coadjuvantes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7B3BF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Regulamentação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Alimentos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10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Alimentos:</w:t>
      </w:r>
    </w:p>
    <w:p w:rsidR="0023764C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bebidas,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águas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envasadas,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matérias-primas,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coadjuvantes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revogação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Cosméticos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11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Cosméticos:</w:t>
      </w:r>
    </w:p>
    <w:p w:rsidR="0023764C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alternativas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eficazes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tragam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ganhos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queixas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matéria-prima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acabado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23764C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consequentes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industrialização,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críticos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mútua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9B301F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B54DCC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para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12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profissional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alternativas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eficazes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tragam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ganhos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compulsória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extensão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obsolescência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comparativamente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existentes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vantagem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compatível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suportável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substituição;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proibição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demonstrem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suficiente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comprovada;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designação,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ensaios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Equipamentos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intercâmbio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Diagnósticos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Uso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vitro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4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intercâmbio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Materiais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Uso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intercâmbio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Saneantes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àquelas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oferecendo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alternativas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eficazes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tragam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ganhos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queixas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acabado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perigos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consequentes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industrialização,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matéria–prima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concentração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geneticamente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modificados,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desinfestação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domiciliares,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campanhas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toxicologia,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cujo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também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TOXICOLOGIA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Toxicologia: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Tabagismo;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Toxicologia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Toxicologia: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razões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submetê–los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paradigma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Súmulas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Derivados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Tabaco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11</w:t>
      </w:r>
      <w:r w:rsidR="00686FF4" w:rsidRPr="006918D0">
        <w:rPr>
          <w:rFonts w:ascii="Times New Roman" w:hAnsi="Times New Roman" w:cs="Times New Roman"/>
          <w:strike/>
        </w:rPr>
        <w:t>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vigor;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discussão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interlaboratoriais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(OMS);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decretos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provisórias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fumígenos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tabaco.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supranacionais,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Decreto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5.658/2006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ratifica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Convenção–Quadro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OMS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Toxicologia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i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20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Toxicologia:</w:t>
      </w:r>
      <w:r w:rsidR="004B0A57" w:rsidRPr="006918D0">
        <w:rPr>
          <w:rFonts w:ascii="Times New Roman" w:hAnsi="Times New Roman" w:cs="Times New Roman"/>
          <w:b/>
          <w:i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tóxicas;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esclarecimento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favoreçam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agravos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tóxicas;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7.802,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1989.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4B0A57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Da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Coordenação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de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Produtos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Novos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e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de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Baixo</w:t>
      </w:r>
      <w:r w:rsidRPr="006918D0">
        <w:rPr>
          <w:rFonts w:ascii="Times New Roman" w:hAnsi="Times New Roman" w:cs="Times New Roman"/>
          <w:b/>
          <w:strike/>
        </w:rPr>
        <w:t xml:space="preserve"> </w:t>
      </w:r>
      <w:r w:rsidR="009B301F" w:rsidRPr="006918D0">
        <w:rPr>
          <w:rFonts w:ascii="Times New Roman" w:hAnsi="Times New Roman" w:cs="Times New Roman"/>
          <w:b/>
          <w:strike/>
        </w:rPr>
        <w:t>Risco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Baixo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temporário;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madeira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agricultura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orgânica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baixo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monografia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madeira;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Equivalentes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Outros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madeira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madeira;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monografia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ingredientes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auxiliar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7.802,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1989.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III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GESTÃO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INTERNA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modernização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essenciais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Financeira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4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alocados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autuadoras,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impulso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movimentação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disciplinem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disciplinem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tombamento,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movimentação,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baixa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inventário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patrimoniais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móveis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inexigibilidade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Diretor–Presidente,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congêneres;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amparo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almoxarifado,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patrimônio,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telefonia,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reprografia,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compensação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recolhidos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título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impugnações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logística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Infrações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acerca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autuado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proferidas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certidões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cópia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e/ou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impulso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definitivo;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débito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certidões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administrativo-sanitários,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Contabilidade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Custos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Custos: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ordenadores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jurisdicionadas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inquinados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balanços,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balancetes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demonstrações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jurisdicionadas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jurisdicionadas,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contábeis;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patrimonial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especiais.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fidedignidade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constarão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Balanço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contábeis;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SIAFI;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3E2E"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3E2E"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3E2E" w:rsidRPr="006918D0">
        <w:rPr>
          <w:rFonts w:ascii="Times New Roman" w:hAnsi="Times New Roman" w:cs="Times New Roman"/>
          <w:b/>
          <w:strike/>
        </w:rPr>
        <w:t>Licitações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="00EB3E2E" w:rsidRPr="006918D0">
        <w:rPr>
          <w:rFonts w:ascii="Times New Roman" w:hAnsi="Times New Roman" w:cs="Times New Roman"/>
          <w:b/>
          <w:strike/>
        </w:rPr>
        <w:t>Públicas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1E6067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convocatórios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anexos,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referência;</w:t>
      </w:r>
    </w:p>
    <w:p w:rsidR="009B301F" w:rsidRPr="006918D0" w:rsidRDefault="000D6895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preços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fornecedor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licitatórios,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contratações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diretas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adesões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preços;</w:t>
      </w:r>
    </w:p>
    <w:p w:rsidR="009B301F" w:rsidRPr="006918D0" w:rsidRDefault="000D6895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9B301F"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auxiliar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respostas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questionamentos,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impugnações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editais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correlatas,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demandantes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necessário;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0D6895"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Orçamento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Finanças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Finanças: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Brasília;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SCDP/MPOG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Contratos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Parcerias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12</w:t>
      </w:r>
      <w:r w:rsidR="00686FF4" w:rsidRPr="006918D0">
        <w:rPr>
          <w:rFonts w:ascii="Times New Roman" w:hAnsi="Times New Roman" w:cs="Times New Roman"/>
          <w:strike/>
        </w:rPr>
        <w:t>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consequências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produzir,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até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término,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sejam: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reequilíbrio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prorrogação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rescisão;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propósito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repactuações,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reequilíbrio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econômico-financeiro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referência.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designação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Boletim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subsidia–los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cronograma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avisos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motivados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sugerindo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e/ou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assinatura;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destinados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envolvida;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despesas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firmadas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repasse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Arrecadação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30</w:t>
      </w:r>
      <w:r w:rsidR="00F00277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compensação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originárias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própria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compõem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receita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diligências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lançamento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tributário,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contencioso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compensação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deferir,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rescindir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inadimplidos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após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créditos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definitivamente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constituídos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inadimplidos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inscrição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Dívida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exaurindo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arrecadação,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restituição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compensação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originárias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Taxa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Logística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Logística: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patrimônio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almoxarifado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conservação,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limpeza,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telefonia,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copeiragem,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reprografia,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mensageria,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aéreas,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permanentes,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engenharia,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logística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logísticos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Pessoas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compreendendo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recrutamento,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seleção,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associados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Legislação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Pessoal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judiciais,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vantagens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benefícios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conflitos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descrevendo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Qualidade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Trabalho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4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periódicos;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suplementar;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Pessoas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aposentados,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pensionistas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estagiários;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exoneração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movimentação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aposentadoria,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benefícios,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vantagens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folha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consignatárias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recolhimento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dimensionar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movimentação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afastamento,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frequência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Desenvolvimento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Pessoas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recrutamento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seleção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estagiários;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individuais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estágio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probatório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carreira;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estágio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possibilitem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correlatos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dispositivos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qualifiquem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ciclo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tange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metodológicos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arquitetura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trocas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corporativos;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Segurança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Tecnológica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premissas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aspectos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premissas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durante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contingência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premissas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lógico;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prospectar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incidentes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computacional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diagnosticar,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correlacionar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informação.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descritas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Projetos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Governança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13</w:t>
      </w:r>
      <w:r w:rsidR="00686FF4" w:rsidRPr="006918D0">
        <w:rPr>
          <w:rFonts w:ascii="Times New Roman" w:hAnsi="Times New Roman" w:cs="Times New Roman"/>
          <w:strike/>
        </w:rPr>
        <w:t>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portfólio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Desenvolvimento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40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arquitetura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corporativas,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interoperabilidade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metodológicos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mapeamento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negócio,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negócio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levantamento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software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homologação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qualifiquem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agreguem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Operações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celebrados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informática,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telecomunicação,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imagem,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negócio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contingência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mudanças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emergenciais;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custódia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conceitos,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conteúdos,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vocabulários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estiverem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transição;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catálogo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daqueles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já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saíram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adaptativas,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evolutivas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lideranças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agreguem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valor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Conhecimento,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Pesquisa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busca,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potenciais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intercâmbio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i/>
          <w:strike/>
        </w:rPr>
        <w:t>expertise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fóruns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troca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Conhecimento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Pesquisa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espaços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experiências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estabeleçam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aprendizagem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sejam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cultura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acervo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bibliográfico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difundir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recebidos;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auxiliar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bancos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externa,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i/>
          <w:strike/>
        </w:rPr>
      </w:pPr>
      <w:r w:rsidRPr="006918D0">
        <w:rPr>
          <w:rFonts w:ascii="Times New Roman" w:hAnsi="Times New Roman" w:cs="Times New Roman"/>
          <w:i/>
          <w:strike/>
        </w:rPr>
        <w:t>XIII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Biblioteca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bibliográfica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indexação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bibliográfica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Atendimento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Público</w:t>
      </w:r>
    </w:p>
    <w:p w:rsidR="009B301F" w:rsidRPr="006918D0" w:rsidRDefault="001E6067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etapas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telefônico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especificações;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periódicas;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cobrar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pactuados;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fornecer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hábil,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buscar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banco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providências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couber,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Procuradoria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Corregedoria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atendimento;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Documental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expedição,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intermediária,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eliminação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recolhimento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guarda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permanente;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fazer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arquivística;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eletrônica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arquivísticos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digitalização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Permanente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observando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virtual,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temporalidade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preservar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memória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histórica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empréstimo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acervo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Parágrafo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descritas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IV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REGULAÇÃO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SANITÁRIA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ACOMPANHAMENTO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MERCADOS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E6067" w:rsidRPr="006918D0">
        <w:rPr>
          <w:rFonts w:ascii="Times New Roman" w:hAnsi="Times New Roman" w:cs="Times New Roman"/>
          <w:strike/>
        </w:rPr>
        <w:t>14</w:t>
      </w:r>
      <w:r w:rsidR="00686FF4" w:rsidRPr="006918D0">
        <w:rPr>
          <w:rFonts w:ascii="Times New Roman" w:hAnsi="Times New Roman" w:cs="Times New Roman"/>
          <w:strike/>
        </w:rPr>
        <w:t>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ressalvadas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Regulamentação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Boas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Práticas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Regulatórias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4</w:t>
      </w:r>
      <w:r w:rsidR="00686FF4" w:rsidRPr="006918D0">
        <w:rPr>
          <w:rFonts w:ascii="Times New Roman" w:hAnsi="Times New Roman" w:cs="Times New Roman"/>
          <w:strike/>
        </w:rPr>
        <w:t>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problemas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chamamento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compilação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Processo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Regulamentação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4</w:t>
      </w:r>
      <w:r w:rsidR="00686FF4" w:rsidRPr="006918D0">
        <w:rPr>
          <w:rFonts w:ascii="Times New Roman" w:hAnsi="Times New Roman" w:cs="Times New Roman"/>
          <w:strike/>
        </w:rPr>
        <w:t>8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levantamento,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preparo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Estratégico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4</w:t>
      </w:r>
      <w:r w:rsidR="00686FF4" w:rsidRPr="006918D0">
        <w:rPr>
          <w:rFonts w:ascii="Times New Roman" w:hAnsi="Times New Roman" w:cs="Times New Roman"/>
          <w:strike/>
        </w:rPr>
        <w:t>9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problemas,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preliminar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consultas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Estoque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Regulatório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50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princípios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auxiliando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revogação;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compilação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Impacto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Regulatório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Acompanhamento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Mercados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complexidade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matérias–primas,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dediquem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exame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papéis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escritas,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físicas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jurídicas,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dediquem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assimetria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aperfeiçoamento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macroprocesso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Impacto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Regulatório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Assessoramento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Econômico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2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complexidade,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matérias–primas,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papéis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escritas,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assessoramento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Econômicas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Acompanhamento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Mercados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86FF4" w:rsidRPr="006918D0">
        <w:rPr>
          <w:rFonts w:ascii="Times New Roman" w:hAnsi="Times New Roman" w:cs="Times New Roman"/>
          <w:strike/>
        </w:rPr>
        <w:t>153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Econômicas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levantar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matérias–primas,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papéis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escritas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situações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impliquem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desabastecimento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restrição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assimetria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especificidades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sigilo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INSPEÇÃO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SANITÁRIA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4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embaladoras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farmácias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drogarias;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fracionadoras,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fracionadoras,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manipuladoras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assegurar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5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Terceirização,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razões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paradigma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Súmulas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Gestão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Qualidade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Processo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6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matérias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Autorização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Funcionamento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1E6067" w:rsidRPr="006918D0">
        <w:rPr>
          <w:rFonts w:ascii="Times New Roman" w:hAnsi="Times New Roman" w:cs="Times New Roman"/>
          <w:strike/>
        </w:rPr>
        <w:t>5</w:t>
      </w:r>
      <w:r w:rsidR="00686FF4" w:rsidRPr="006918D0">
        <w:rPr>
          <w:rFonts w:ascii="Times New Roman" w:hAnsi="Times New Roman" w:cs="Times New Roman"/>
          <w:strike/>
        </w:rPr>
        <w:t>7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cadastro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fracionadoras,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embaladoras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farmácias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drogarias,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Funcionamento;</w:t>
      </w:r>
    </w:p>
    <w:p w:rsidR="00116DE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embaladoras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além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farmácias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drogarias;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fracionadoras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fracionadoras,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manipuladoras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especial;</w:t>
      </w:r>
    </w:p>
    <w:p w:rsidR="00116DE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guias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15</w:t>
      </w:r>
      <w:r w:rsidR="00686FF4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terceirização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etapas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Insumos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Farmacêuticos,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Saneantes,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Cosméticos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Alimentos</w:t>
      </w:r>
    </w:p>
    <w:p w:rsidR="009B301F" w:rsidRPr="006918D0" w:rsidRDefault="00BA64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 159. São competências da Coordenação de Inspeção de Insumos Farmacêuticos, Saneantes, Cosméticos e Alimentos: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cosméticos,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higiene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pessoal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perfumes,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nacional.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60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receber,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terceirização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etapas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nacional.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Inspeção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para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terceiros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terceiro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reconhecido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armazenadoras,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distribuidoras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23764C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FISCALIZAÇÃO,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CONTROLE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MONITORAMENTO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62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Monitoramento: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desvios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Centro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Gerenciamento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Informações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sobre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Emergências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prospecção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podem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configurar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busca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mídia;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confirmados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relevância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constituído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–CIEVS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Secretaria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intercâmbio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rotina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detecção–notificação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profissionais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Fiscalização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fundamentado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razões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regulado,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através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diz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Monitoramento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Sujeitos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contemplando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problemas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Cosmetovigilância,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Hemovigilância,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Toxicovigilância,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Saneantes;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Sentinela;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Toxicológica;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incentivar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queixas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interagir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convênios,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ajustes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Regulatórias;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resíduos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agrotóxicos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Gerência-Geral</w:t>
      </w:r>
      <w:r w:rsidR="0023764C"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Avaliação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Risco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Risco: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banco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farmacoepidemiológicas;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câmaras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urgentes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situações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concernentes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Mundial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Monitoramento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Risco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Risco: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decorrente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perfil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Sentinela;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grupos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Fiscalização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Sujeitos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à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auditoria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articulando–se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desvios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6.360,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1976,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mútua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facilitem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diligências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falsificação,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fraude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adulteração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trâmites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arquivamento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Agenda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conduzir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Fiscalização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Sujeitos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à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16</w:t>
      </w:r>
      <w:r w:rsidR="00686FF4" w:rsidRPr="006918D0">
        <w:rPr>
          <w:rFonts w:ascii="Times New Roman" w:hAnsi="Times New Roman" w:cs="Times New Roman"/>
          <w:strike/>
        </w:rPr>
        <w:t>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articulando–se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desvios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6.360,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1976,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diligências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falsificação,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fraude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adulteração,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Julgamento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Processo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70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reconsideração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cabível.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Processo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propaganda,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tabaco;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penalidades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tramitação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iniciados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nº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6.437,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1977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objetivo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detectadas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apreciação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Anteprojetos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Controlados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Controlados: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consolidar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ratificadas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Americanos,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MERCOSUL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país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fixar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território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exclusiva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embarque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ensino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estoques,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desvio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entorpecentes,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psicotrópicas,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precursoras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contenham;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conteúdo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disponível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sítio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Internet;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oportuna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tomada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Laboratórios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Pública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Pública: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três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esferas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provenientes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adequação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credenciamento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caráter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Analíticos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técnico–científicas,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provedores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ensaios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proficiência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materiais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certificados.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laboratoriais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Geneticamente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VII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SERVIÇOS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SAÚDE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GESTÃO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SISTEMA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NACIONAL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VIGILÂNCIA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zelar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Programas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Estratégicos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Único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oriundas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possuem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interface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escopo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buscando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envolvidas;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periodicamente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disseminar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Fortalecimento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fóruns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discussão,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alcançados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minimizar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E31331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subgrupo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Tripartite.</w:t>
      </w:r>
    </w:p>
    <w:p w:rsidR="00E31331" w:rsidRPr="006918D0" w:rsidRDefault="00E31331" w:rsidP="00E31331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XV - coordenar as ações da Anvisa que estejam alinhadas a programas e políticas de governo voltadas especialmente à inclusão social, ao desenvolvimento e ao fomento dos micro e pequenos empreendedores, microempreendedores individuais, empreendedores da agricultura familiar e da economia solidária, com vistas à erradicação da extrema pobreza; </w:t>
      </w:r>
      <w:r w:rsidRPr="006918D0">
        <w:rPr>
          <w:rFonts w:ascii="Times New Roman" w:hAnsi="Times New Roman" w:cs="Times New Roman"/>
          <w:b/>
          <w:strike/>
          <w:color w:val="0000FF"/>
        </w:rPr>
        <w:t>(Incluído pela Resolução – RDC nº 47, de 6 de novembro de 2015)</w:t>
      </w:r>
    </w:p>
    <w:p w:rsidR="00E31331" w:rsidRPr="006918D0" w:rsidRDefault="00E31331" w:rsidP="00E31331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XVI - apoiar a implementação de políticas de promoção da equidade, práticas educativas, educação popular, mobilização social e fortalecimento do controle social no Sistema Único de Saúde, além de estimular a criação de espaços de gestão participativa, no âmbito das competências da Anvisa; e </w:t>
      </w:r>
      <w:r w:rsidRPr="006918D0">
        <w:rPr>
          <w:rFonts w:ascii="Times New Roman" w:hAnsi="Times New Roman" w:cs="Times New Roman"/>
          <w:b/>
          <w:strike/>
          <w:color w:val="0000FF"/>
        </w:rPr>
        <w:t>(Incluído pela Resolução – RDC nº 47, de 6 de novembro de 2015)</w:t>
      </w:r>
    </w:p>
    <w:p w:rsidR="00E31331" w:rsidRPr="006918D0" w:rsidRDefault="00E31331" w:rsidP="00E31331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 xml:space="preserve">XVII - assessorar e fomentar instrumentos legais que possuam interface com políticas públicas voltadas para mobilização, participação e controle social, no sentido de promover uma atuação integrada no âmbito da relação institucional. </w:t>
      </w:r>
      <w:r w:rsidRPr="006918D0">
        <w:rPr>
          <w:rFonts w:ascii="Times New Roman" w:hAnsi="Times New Roman" w:cs="Times New Roman"/>
          <w:b/>
          <w:strike/>
          <w:color w:val="0000FF"/>
        </w:rPr>
        <w:t>(Incluído pela Resolução – RDC nº 47, de 6 de novembro de 2015)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Fortalecimento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espaços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fóruns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discussão,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disponibilizar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conhecimentos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oriundas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Sistema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espaços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representantes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sociedade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civil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metodologias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subgrupo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Intergestores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Tripartite.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Serviços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17</w:t>
      </w:r>
      <w:r w:rsidR="00686FF4" w:rsidRPr="006918D0">
        <w:rPr>
          <w:rFonts w:ascii="Times New Roman" w:hAnsi="Times New Roman" w:cs="Times New Roman"/>
          <w:strike/>
        </w:rPr>
        <w:t>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vigente;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intervenções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mecanismos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contínua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primeira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Regulamentação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Controle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Serviços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80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Regulamentação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intervenções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incentivo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científico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tecnológico,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treinar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profissionais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aspectos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</w:p>
    <w:p w:rsidR="009B301F" w:rsidRPr="006918D0" w:rsidRDefault="00491A69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Monitoramento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Serviços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Hospitalar;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infecções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defesa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consumidor,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comunicação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investigações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levantamentos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paciente,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resultados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adversos;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colaboradores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paciente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CAPÍTULO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SUPERINTENDÊNCIA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consonância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alinhadas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governamentais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otimização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interinstitucionalmente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eficiência;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privado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compartilhada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especialmente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possam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constituir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epidemiológica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epidemiológica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vetores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transmissíveis;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administrativo–sanitários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organismos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conferências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congressos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semelhantes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Técnica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Julgamento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Infrações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integrantes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requerer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acerca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cometida,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pretendida;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525D14"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encaminhar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respectivas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imprensa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oficial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sugerir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atendendo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após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subsídios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esclarecimento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identificar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entendimentos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diversas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uniformização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viabilizar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paradigma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análogos;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súmulas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Infraestrutura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Administrativa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Infraestrutura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Administrativa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orçamentária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infraestrutura,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equipamentos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localizados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Federadas;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engenharia,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comum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trâmites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aquisição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relatórios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periódicos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desempenho.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Estados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Estados: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incluída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bagagem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tráfego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terrestres,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marítimos,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fluviais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aéreos,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deslocamentos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tripulação;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b)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c)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vacinação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Vacinação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Amarela,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obrigatórias,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portuárias,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aeroportuárias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fronteiriças;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d)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e)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trabalhador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f)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limitadas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delegadas.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logísticos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estruturas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subordinadas;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epidemiológica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transmissíveis;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contencioso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administrativo–sanitário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potenciais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Postos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Estados: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ofertados,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tráfego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veículos,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terrestres,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marítimos,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fluviais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aéreos,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deslocamentos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passageiros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tripulação;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b)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carga;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c)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vacinação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Vacinação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Amarela,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consideradas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obrigatórias,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recomendação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portuárias,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aeroportuárias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fronteiriças;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d)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e)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trabalhador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ambiental,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pertinente.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contencioso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potenciais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verificados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epidemiológica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estaduais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municipais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evitar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propagação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transmissíveis.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Instalações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Serviços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Interesse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Meios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Transporte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Viajantes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Transporte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Viajantes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educativas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subscritos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tocante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interinstitucionalmente,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Monitoramento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Vigilância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Saúde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18</w:t>
      </w:r>
      <w:r w:rsidR="00686FF4" w:rsidRPr="006918D0">
        <w:rPr>
          <w:rFonts w:ascii="Times New Roman" w:hAnsi="Times New Roman" w:cs="Times New Roman"/>
          <w:strike/>
        </w:rPr>
        <w:t>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eventos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incluindo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contingência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emergências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Agência;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subscritos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tocante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superiores;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interinstitucionalmente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tocante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básicas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terrestres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designadas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Fiscalização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</w:t>
      </w:r>
      <w:r w:rsidR="00686FF4" w:rsidRPr="006918D0">
        <w:rPr>
          <w:rFonts w:ascii="Times New Roman" w:hAnsi="Times New Roman" w:cs="Times New Roman"/>
          <w:strike/>
        </w:rPr>
        <w:t>90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Fronteiras: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básicas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passagens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terrestres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designadas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estratégias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requisitos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interinstitucionalmente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capacitação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descentralização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instalações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melhorias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Controle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Comércio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Exterior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686FF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Exterior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incluída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bagagem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aduaneiras;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edição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técnicos–padrões;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racionalização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incluídos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exercício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estimular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sistêmica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fluxo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tabelas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indicadores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trabalho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organizacional;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estabelecer,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incluída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bagagem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acompanhada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viajantes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alfandegados;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benefícios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Orientação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Operacional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Ações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Fiscalização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Sanitária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Empresas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Aeroportos,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Fronteiras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Recintos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Alfandegados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Orientação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Operacional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Fronteiras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Recintos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Alfandegados: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definir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critérios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padrões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identidade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classes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apresentação,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efetivar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tecnicamente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formalidades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Funcionamento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Empresas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armazenagem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aeroportos,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fronteiras,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entrepostos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aduaneiras;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benefícios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atender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demandas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usuários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atribuições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ferramenta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CAPÍTULO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IX</w:t>
      </w:r>
    </w:p>
    <w:p w:rsidR="00B4533B" w:rsidRPr="006918D0" w:rsidRDefault="009B301F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SUPERINTENDÊNCIA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MEDICAMENTOS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E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PRODUTOS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BIOLÓGICOS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Biológicos: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responsáveis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supervisionar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Hemoderivados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medidas,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garantia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afetas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setor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ampliação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população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orientar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envolvam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humanos;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priorização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visitas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i/>
          <w:strike/>
        </w:rPr>
      </w:pPr>
      <w:r w:rsidRPr="006918D0">
        <w:rPr>
          <w:rFonts w:ascii="Times New Roman" w:hAnsi="Times New Roman" w:cs="Times New Roman"/>
          <w:strike/>
        </w:rPr>
        <w:t>XIII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inclusive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denuncias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AC4C53"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i/>
          <w:strike/>
        </w:rPr>
        <w:t xml:space="preserve"> 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XIV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Instrução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Análise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Recursos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Biológicos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Biológicos: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aprimorar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interpostos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analisar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juízo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admissibilidade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mérito;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razões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submeter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deliberação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julgamento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última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instância;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sistematizar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recursos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dirigidos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Farmacopeia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Farmacopeia: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praticar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gestão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Comitês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Temáticos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promover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publicação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decisões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emanados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adoção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diretrizes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Comissão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intersetoriais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tenham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sujeitos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subsidiar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elaboração,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implantação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instrumentos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métodos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fortalecimento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Farmacopeia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Brasileira.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Propriedade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Intelectual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Propriedade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Intelectual: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anuência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prévia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pedidos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patentes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depositados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Propriedade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Industrial,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vinculado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Indústria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Comércio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Exterior,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acordo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9.279,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1996;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emitir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pareceres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documentos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analíticos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propriedade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intelectual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campo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contribuir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implementação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política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Doenças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Sexualmente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Transmissíveis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Síndrome</w:t>
      </w:r>
      <w:r w:rsidR="004B0A57" w:rsidRPr="006918D0">
        <w:rPr>
          <w:rFonts w:ascii="Times New Roman" w:hAnsi="Times New Roman" w:cs="Times New Roman"/>
          <w:bCs/>
          <w:strike/>
          <w:shd w:val="clear" w:color="auto" w:fill="FFFFFF"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da</w:t>
      </w:r>
      <w:r w:rsidR="004B0A57" w:rsidRPr="006918D0">
        <w:rPr>
          <w:rFonts w:ascii="Times New Roman" w:hAnsi="Times New Roman" w:cs="Times New Roman"/>
          <w:bCs/>
          <w:strike/>
          <w:shd w:val="clear" w:color="auto" w:fill="FFFFFF"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Imunodeficiência</w:t>
      </w:r>
      <w:r w:rsidR="004B0A57" w:rsidRPr="006918D0">
        <w:rPr>
          <w:rFonts w:ascii="Times New Roman" w:hAnsi="Times New Roman" w:cs="Times New Roman"/>
          <w:bCs/>
          <w:strike/>
          <w:shd w:val="clear" w:color="auto" w:fill="FFFFFF"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Adquirida</w:t>
      </w:r>
      <w:r w:rsidR="004B0A57" w:rsidRPr="006918D0">
        <w:rPr>
          <w:rFonts w:ascii="Times New Roman" w:hAnsi="Times New Roman" w:cs="Times New Roman"/>
          <w:bCs/>
          <w:strike/>
          <w:shd w:val="clear" w:color="auto" w:fill="FFFFFF"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–</w:t>
      </w:r>
      <w:r w:rsidR="004B0A57" w:rsidRPr="006918D0">
        <w:rPr>
          <w:rFonts w:ascii="Times New Roman" w:hAnsi="Times New Roman" w:cs="Times New Roman"/>
          <w:bCs/>
          <w:strike/>
          <w:shd w:val="clear" w:color="auto" w:fill="FFFFFF"/>
        </w:rPr>
        <w:t xml:space="preserve"> </w:t>
      </w:r>
      <w:r w:rsidRPr="006918D0">
        <w:rPr>
          <w:rFonts w:ascii="Times New Roman" w:hAnsi="Times New Roman" w:cs="Times New Roman"/>
          <w:bCs/>
          <w:strike/>
          <w:shd w:val="clear" w:color="auto" w:fill="FFFFFF"/>
        </w:rPr>
        <w:t>AIDS</w:t>
      </w:r>
      <w:r w:rsidRPr="006918D0">
        <w:rPr>
          <w:rFonts w:ascii="Times New Roman" w:hAnsi="Times New Roman" w:cs="Times New Roman"/>
          <w:b/>
          <w:bCs/>
          <w:strike/>
          <w:shd w:val="clear" w:color="auto" w:fill="FFFFFF"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Pesquisa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Clínica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Biológicos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Biológicos:</w:t>
      </w:r>
    </w:p>
    <w:p w:rsidR="009B301F" w:rsidRPr="006918D0" w:rsidRDefault="009B301F" w:rsidP="00472202">
      <w:pPr>
        <w:pStyle w:val="NormalWeb"/>
        <w:tabs>
          <w:tab w:val="left" w:pos="4253"/>
        </w:tabs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reuniões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expandido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programa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compassivo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pesquisa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Bula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Rotulagem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Bula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Rotulagem: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bula,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rotulagem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comercial.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19</w:t>
      </w:r>
      <w:r w:rsidR="00686FF4" w:rsidRPr="006918D0">
        <w:rPr>
          <w:rFonts w:ascii="Times New Roman" w:hAnsi="Times New Roman" w:cs="Times New Roman"/>
          <w:strike/>
        </w:rPr>
        <w:t>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fitoterápicos,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dinamizados,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medicinais,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causados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afins;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revalidação,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supervisão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necessárias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i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planejar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eleição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exclusão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lista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AC4C53"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Avaliação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Eficácia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Segurança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Sintéticos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686FF4" w:rsidRPr="006918D0">
        <w:rPr>
          <w:rFonts w:ascii="Times New Roman" w:hAnsi="Times New Roman" w:cs="Times New Roman"/>
          <w:strike/>
        </w:rPr>
        <w:t>200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Sintéticos: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sintéticos;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questionamentos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sintéticos;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Superintendência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demais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sintéticos;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comprovação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eficácia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segurança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sintéticos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impacto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registrado.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Avaliação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Registro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Sintéticos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</w:t>
      </w:r>
      <w:r w:rsidR="00F1194E" w:rsidRPr="006918D0">
        <w:rPr>
          <w:rFonts w:ascii="Times New Roman" w:hAnsi="Times New Roman" w:cs="Times New Roman"/>
          <w:strike/>
        </w:rPr>
        <w:t>01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Sintéticos: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dossiês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concentração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AC4C53" w:rsidRPr="006918D0" w:rsidRDefault="004177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 – dar assistência às ações de inspeções de boas práticas de fabricação relacionadas a medicamentos sintéticos; 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falta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Avaliação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Tecnologia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Pós–Registro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Sintéticos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2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Avaliação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Sintéticos: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similares;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sintéticos;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tecnologia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tiveram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modificações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categoria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regulatória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inovador,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genérico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similar</w:t>
      </w:r>
      <w:r w:rsidR="00525D14" w:rsidRPr="006918D0">
        <w:rPr>
          <w:rFonts w:ascii="Times New Roman" w:hAnsi="Times New Roman" w:cs="Times New Roman"/>
          <w:strike/>
        </w:rPr>
        <w:t>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Equivalência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Terapêutica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3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Terapêutica: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protocolos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biodisponibilidade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relativa,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bioisenção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pós-registro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suspensão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Biodisponibilidade/Bioequivalência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voluntários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clínica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farmacodinâmicos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bioequivalência/biodisponibilidade;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Centros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Equivalência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periódico,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irregularidades,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denúncias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desvios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condução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estudos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eles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desenvolvidos.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Registro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Insumos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Farmacêuticos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Ativos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4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Insumos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Farmacêuticos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Ativo: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farmacêutico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ativo;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AC4C53"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competência.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Fitoterápicos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Dinamizados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5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Fitoterápicos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Dinamizados: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fitoterápicos,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dinamizados;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fitoterápicos,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dinamizados;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fitoterápicos;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fitoterápicos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dinamizados.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Coordenação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Medicamentos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Específicos,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Notificados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Gases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Medicinais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6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Coordenação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Específicos,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Notificados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Medicinais: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medicinais;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habilitação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novas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simplificada;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medicinais;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medicamentos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específicos,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gases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medicinais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notificados,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VII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Gerência–Geral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Biológicos,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Sangue,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Tecidos,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Células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Órgãos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7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Gerência–Geral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Órgãos: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biológicos.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pós-registro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radioisótopos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radiofármacos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terapêutica;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apoiar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desenvolvimento,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articulação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competentes,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informações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ocorrência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danos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causados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consumo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abrangidos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revalidação,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conforme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previsto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lei;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indeferimento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alteração,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revalidação,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retificação,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dispensa,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cancelamento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radioisótopos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radiofármacos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monitorar,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controlar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cumprimento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regulamentares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pertinentes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análise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petições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responsabilidade;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manifestar-se,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cooperar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Produtos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Biológicos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8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Biológicos: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pós–registros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pós-registro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radioisótopos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radiofármacos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terapia;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renovação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automática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declaração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caducidade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registro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AC4C53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assistência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fabricação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biológicos;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participar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radioisótopos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radiofármacos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radioativos,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utilizados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diagnósticos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terapia,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parceria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manifestar-se,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assuntos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strike/>
        </w:rPr>
        <w:t>IX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-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solicitações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pré-embarque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produtos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biológicos.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Subseção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II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</w:p>
    <w:p w:rsidR="00B4533B" w:rsidRPr="006918D0" w:rsidRDefault="009B301F" w:rsidP="00B4533B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</w:rPr>
      </w:pPr>
      <w:r w:rsidRPr="006918D0">
        <w:rPr>
          <w:rFonts w:ascii="Times New Roman" w:hAnsi="Times New Roman" w:cs="Times New Roman"/>
          <w:b/>
          <w:strike/>
        </w:rPr>
        <w:t>Da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Gerência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de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Sangue,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Tecidos,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Células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e</w:t>
      </w:r>
      <w:r w:rsidR="004B0A57" w:rsidRPr="006918D0">
        <w:rPr>
          <w:rFonts w:ascii="Times New Roman" w:hAnsi="Times New Roman" w:cs="Times New Roman"/>
          <w:b/>
          <w:strike/>
        </w:rPr>
        <w:t xml:space="preserve"> </w:t>
      </w:r>
      <w:r w:rsidRPr="006918D0">
        <w:rPr>
          <w:rFonts w:ascii="Times New Roman" w:hAnsi="Times New Roman" w:cs="Times New Roman"/>
          <w:b/>
          <w:strike/>
        </w:rPr>
        <w:t>Órgãos</w:t>
      </w:r>
    </w:p>
    <w:p w:rsidR="009B301F" w:rsidRPr="006918D0" w:rsidRDefault="00525D14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20</w:t>
      </w:r>
      <w:r w:rsidR="00F1194E" w:rsidRPr="006918D0">
        <w:rPr>
          <w:rFonts w:ascii="Times New Roman" w:hAnsi="Times New Roman" w:cs="Times New Roman"/>
          <w:strike/>
        </w:rPr>
        <w:t>9</w:t>
      </w:r>
      <w:r w:rsidR="009B301F"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Gerência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9B301F" w:rsidRPr="006918D0">
        <w:rPr>
          <w:rFonts w:ascii="Times New Roman" w:hAnsi="Times New Roman" w:cs="Times New Roman"/>
          <w:strike/>
        </w:rPr>
        <w:t>Órgãos: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propor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concessão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manutenção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certificação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boas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práticas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terapêutica;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instaurar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processo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administrativo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para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apuração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infrações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legislação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referentes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executem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manifestar–se,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circunstanciada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conclusiva,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sobre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importação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exportação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IV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atividade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transporte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interestadual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hemoterapia;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coordenar,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âmbito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inspeção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finalidade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terapêutica,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realizar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fiscalização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complementar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atuação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estados,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municípios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Distrito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Federal,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respeitadas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competências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Ministério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Saúde;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9B301F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coletar,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tratar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avaliar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relacionados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à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área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sangue,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células,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tecidos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órgãos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vistas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gerenciamento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risco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conjunto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unidades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organizacionais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Sistema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Nacional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Vigilância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Sanitária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outras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instituições;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</w:p>
    <w:p w:rsidR="00B4533B" w:rsidRPr="006918D0" w:rsidRDefault="009B301F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VIII–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harmonizar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procedimentos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técnicos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operacionais.</w:t>
      </w:r>
    </w:p>
    <w:p w:rsidR="00B4533B" w:rsidRPr="006918D0" w:rsidRDefault="00323C3D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DAS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DISPOSIÇÕES</w:t>
      </w:r>
      <w:r w:rsidR="004B0A57" w:rsidRPr="006918D0">
        <w:rPr>
          <w:b/>
          <w:strike/>
          <w:sz w:val="24"/>
          <w:szCs w:val="24"/>
        </w:rPr>
        <w:t xml:space="preserve"> </w:t>
      </w:r>
      <w:r w:rsidRPr="006918D0">
        <w:rPr>
          <w:b/>
          <w:strike/>
          <w:sz w:val="24"/>
          <w:szCs w:val="24"/>
        </w:rPr>
        <w:t>GERAIS</w:t>
      </w:r>
    </w:p>
    <w:p w:rsidR="00323C3D" w:rsidRPr="006918D0" w:rsidRDefault="00323C3D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25D14" w:rsidRPr="006918D0">
        <w:rPr>
          <w:rFonts w:ascii="Times New Roman" w:hAnsi="Times New Roman" w:cs="Times New Roman"/>
          <w:strike/>
        </w:rPr>
        <w:t>2</w:t>
      </w:r>
      <w:r w:rsidR="00F1194E" w:rsidRPr="006918D0">
        <w:rPr>
          <w:rFonts w:ascii="Times New Roman" w:hAnsi="Times New Roman" w:cs="Times New Roman"/>
          <w:strike/>
        </w:rPr>
        <w:t>10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vedadas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manifestações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públicas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prestadores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serviço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B1C0E"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B1C0E" w:rsidRPr="006918D0">
        <w:rPr>
          <w:rFonts w:ascii="Times New Roman" w:hAnsi="Times New Roman" w:cs="Times New Roman"/>
          <w:strike/>
        </w:rPr>
        <w:t>nome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B1C0E" w:rsidRPr="006918D0">
        <w:rPr>
          <w:rFonts w:ascii="Times New Roman" w:hAnsi="Times New Roman" w:cs="Times New Roman"/>
          <w:strike/>
        </w:rPr>
        <w:t>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C1949" w:rsidRPr="006918D0">
        <w:rPr>
          <w:rFonts w:ascii="Times New Roman" w:hAnsi="Times New Roman" w:cs="Times New Roman"/>
          <w:strike/>
        </w:rPr>
        <w:t>Anvisa</w:t>
      </w:r>
      <w:r w:rsidRPr="006918D0">
        <w:rPr>
          <w:rFonts w:ascii="Times New Roman" w:hAnsi="Times New Roman" w:cs="Times New Roman"/>
          <w:strike/>
        </w:rPr>
        <w:t>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em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quaisquer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formas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expressão,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exceto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quando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expressamente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autorizadas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ou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155D37" w:rsidRPr="006918D0">
        <w:rPr>
          <w:rFonts w:ascii="Times New Roman" w:hAnsi="Times New Roman" w:cs="Times New Roman"/>
          <w:strike/>
        </w:rPr>
        <w:t>Diretor-Presidente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</w:p>
    <w:p w:rsidR="00B4533B" w:rsidRPr="006918D0" w:rsidRDefault="00323C3D" w:rsidP="00472202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6918D0">
        <w:rPr>
          <w:rFonts w:ascii="Times New Roman" w:hAnsi="Times New Roman" w:cs="Times New Roman"/>
          <w:strike/>
        </w:rPr>
        <w:t>Art.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525D14" w:rsidRPr="006918D0">
        <w:rPr>
          <w:rFonts w:ascii="Times New Roman" w:hAnsi="Times New Roman" w:cs="Times New Roman"/>
          <w:strike/>
        </w:rPr>
        <w:t>21</w:t>
      </w:r>
      <w:r w:rsidR="00F1194E" w:rsidRPr="006918D0">
        <w:rPr>
          <w:rFonts w:ascii="Times New Roman" w:hAnsi="Times New Roman" w:cs="Times New Roman"/>
          <w:strike/>
        </w:rPr>
        <w:t>1</w:t>
      </w:r>
      <w:r w:rsidRPr="006918D0">
        <w:rPr>
          <w:rFonts w:ascii="Times New Roman" w:hAnsi="Times New Roman" w:cs="Times New Roman"/>
          <w:strike/>
        </w:rPr>
        <w:t>.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casos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omissos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dúvidas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surgidas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na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aplicação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deste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="004B24F1" w:rsidRPr="006918D0">
        <w:rPr>
          <w:rFonts w:ascii="Times New Roman" w:hAnsi="Times New Roman" w:cs="Times New Roman"/>
          <w:strike/>
        </w:rPr>
        <w:t>Regimento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Interno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serão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resolvidos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pela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Diretoria</w:t>
      </w:r>
      <w:r w:rsidR="004B0A57" w:rsidRPr="006918D0">
        <w:rPr>
          <w:rFonts w:ascii="Times New Roman" w:hAnsi="Times New Roman" w:cs="Times New Roman"/>
          <w:strike/>
        </w:rPr>
        <w:t xml:space="preserve"> </w:t>
      </w:r>
      <w:r w:rsidRPr="006918D0">
        <w:rPr>
          <w:rFonts w:ascii="Times New Roman" w:hAnsi="Times New Roman" w:cs="Times New Roman"/>
          <w:strike/>
        </w:rPr>
        <w:t>Colegiada.</w:t>
      </w:r>
    </w:p>
    <w:p w:rsidR="00076F4E" w:rsidRPr="006918D0" w:rsidRDefault="00076F4E" w:rsidP="00472202">
      <w:pPr>
        <w:pStyle w:val="NormalWeb"/>
        <w:spacing w:before="0" w:beforeAutospacing="0" w:after="200" w:afterAutospacing="0"/>
        <w:ind w:firstLine="567"/>
        <w:jc w:val="center"/>
        <w:rPr>
          <w:rFonts w:ascii="Times New Roman" w:hAnsi="Times New Roman" w:cs="Times New Roman"/>
          <w:strike/>
        </w:rPr>
      </w:pPr>
    </w:p>
    <w:p w:rsidR="00BA00A7" w:rsidRPr="006918D0" w:rsidRDefault="00BA00A7" w:rsidP="00B4533B">
      <w:pPr>
        <w:spacing w:after="200"/>
        <w:jc w:val="center"/>
        <w:rPr>
          <w:b/>
          <w:bCs/>
          <w:strike/>
          <w:sz w:val="24"/>
          <w:szCs w:val="24"/>
        </w:rPr>
        <w:sectPr w:rsidR="00BA00A7" w:rsidRPr="006918D0" w:rsidSect="00472202">
          <w:headerReference w:type="default" r:id="rId8"/>
          <w:footerReference w:type="default" r:id="rId9"/>
          <w:type w:val="oddPage"/>
          <w:pgSz w:w="11906" w:h="16838" w:code="9"/>
          <w:pgMar w:top="1417" w:right="1701" w:bottom="1417" w:left="1560" w:header="0" w:footer="1106" w:gutter="0"/>
          <w:cols w:space="708"/>
          <w:docGrid w:linePitch="360"/>
        </w:sectPr>
      </w:pPr>
    </w:p>
    <w:p w:rsidR="00B4533B" w:rsidRPr="006918D0" w:rsidRDefault="00634079" w:rsidP="00B4533B">
      <w:pPr>
        <w:spacing w:after="200"/>
        <w:jc w:val="center"/>
        <w:rPr>
          <w:b/>
          <w:bCs/>
          <w:strike/>
          <w:sz w:val="24"/>
          <w:szCs w:val="24"/>
        </w:rPr>
      </w:pPr>
      <w:r w:rsidRPr="006918D0">
        <w:rPr>
          <w:b/>
          <w:bCs/>
          <w:strike/>
          <w:sz w:val="24"/>
          <w:szCs w:val="24"/>
        </w:rPr>
        <w:t>Anexo II</w:t>
      </w:r>
    </w:p>
    <w:p w:rsidR="00B4533B" w:rsidRPr="006918D0" w:rsidRDefault="00634079" w:rsidP="00B4533B">
      <w:pPr>
        <w:spacing w:after="200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Quadro de Cargos aprovado pela lei de criação da Agência</w:t>
      </w:r>
    </w:p>
    <w:tbl>
      <w:tblPr>
        <w:tblW w:w="12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"/>
        <w:gridCol w:w="1623"/>
        <w:gridCol w:w="1710"/>
        <w:gridCol w:w="120"/>
        <w:gridCol w:w="980"/>
        <w:gridCol w:w="967"/>
        <w:gridCol w:w="1400"/>
        <w:gridCol w:w="1526"/>
        <w:gridCol w:w="1706"/>
        <w:gridCol w:w="698"/>
        <w:gridCol w:w="1504"/>
      </w:tblGrid>
      <w:tr w:rsidR="00076F4E" w:rsidRPr="006918D0" w:rsidTr="00BA00A7">
        <w:trPr>
          <w:trHeight w:val="476"/>
          <w:jc w:val="center"/>
        </w:trPr>
        <w:tc>
          <w:tcPr>
            <w:tcW w:w="623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Função</w:t>
            </w:r>
          </w:p>
        </w:tc>
        <w:tc>
          <w:tcPr>
            <w:tcW w:w="1745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100" w:type="dxa"/>
            <w:gridSpan w:val="2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2258" w:type="dxa"/>
            <w:gridSpan w:val="2"/>
            <w:vMerge w:val="restart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Lei 9986/2000</w:t>
            </w:r>
          </w:p>
        </w:tc>
        <w:tc>
          <w:tcPr>
            <w:tcW w:w="3276" w:type="dxa"/>
            <w:gridSpan w:val="2"/>
            <w:vMerge w:val="restart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Anterior</w:t>
            </w:r>
          </w:p>
        </w:tc>
        <w:tc>
          <w:tcPr>
            <w:tcW w:w="2212" w:type="dxa"/>
            <w:gridSpan w:val="2"/>
            <w:vMerge w:val="restart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Nova</w:t>
            </w:r>
          </w:p>
        </w:tc>
      </w:tr>
      <w:tr w:rsidR="00076F4E" w:rsidRPr="006918D0" w:rsidTr="00BA00A7">
        <w:trPr>
          <w:trHeight w:val="476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gridSpan w:val="2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276" w:type="dxa"/>
            <w:gridSpan w:val="2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212" w:type="dxa"/>
            <w:gridSpan w:val="2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 w:val="restart"/>
            <w:shd w:val="clear" w:color="000000" w:fill="D9D9D9"/>
            <w:textDirection w:val="btLr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</w:t>
            </w: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Direção</w:t>
            </w: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CD 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CD 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13.657,23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Executiva</w:t>
            </w: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12.938,41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64.692,05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207.014,56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207.014,56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11.500,81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241.517,01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287.520,25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287.520,25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10.782,01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517.536,48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IV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7.188,00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208.452,00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208.452,00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Assessoria</w:t>
            </w: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11.500,81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80.505,67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80.505,67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10.782,01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3.001,72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9.005,16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9.005,16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Assistência</w:t>
            </w: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CAS 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2.270,70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CAS II</w:t>
            </w:r>
          </w:p>
        </w:tc>
        <w:tc>
          <w:tcPr>
            <w:tcW w:w="1100" w:type="dxa"/>
            <w:gridSpan w:val="2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1.967,94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7.871,76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11.807,64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11.807,64</w:t>
            </w:r>
          </w:p>
        </w:tc>
      </w:tr>
      <w:tr w:rsidR="00076F4E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481" w:type="dxa"/>
            <w:gridSpan w:val="4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Subtotal G-I</w:t>
            </w:r>
          </w:p>
        </w:tc>
        <w:tc>
          <w:tcPr>
            <w:tcW w:w="983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75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954.532,30</w:t>
            </w:r>
          </w:p>
        </w:tc>
        <w:tc>
          <w:tcPr>
            <w:tcW w:w="1560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96</w:t>
            </w:r>
          </w:p>
        </w:tc>
        <w:tc>
          <w:tcPr>
            <w:tcW w:w="1716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begin"/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instrText xml:space="preserve"> =SUM(ABOVE) </w:instrTex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separate"/>
            </w:r>
            <w:r w:rsidRPr="006918D0">
              <w:rPr>
                <w:b/>
                <w:bCs/>
                <w:strike/>
                <w:noProof/>
                <w:color w:val="000000"/>
                <w:sz w:val="24"/>
                <w:szCs w:val="24"/>
              </w:rPr>
              <w:t>927.220,28</w: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05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07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begin"/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instrText xml:space="preserve"> =SUM(ABOVE) </w:instrTex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separate"/>
            </w:r>
            <w:r w:rsidRPr="006918D0">
              <w:rPr>
                <w:b/>
                <w:bCs/>
                <w:strike/>
                <w:noProof/>
                <w:color w:val="000000"/>
                <w:sz w:val="24"/>
                <w:szCs w:val="24"/>
              </w:rPr>
              <w:t>927.220,28</w: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end"/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 w:val="restart"/>
            <w:shd w:val="clear" w:color="000000" w:fill="D9D9D9"/>
            <w:textDirection w:val="btLr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II</w:t>
            </w:r>
          </w:p>
        </w:tc>
        <w:tc>
          <w:tcPr>
            <w:tcW w:w="1636" w:type="dxa"/>
            <w:vMerge w:val="restart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1865" w:type="dxa"/>
            <w:gridSpan w:val="2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V</w:t>
            </w:r>
          </w:p>
        </w:tc>
        <w:tc>
          <w:tcPr>
            <w:tcW w:w="980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2.733,25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114.796,50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63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172.194,75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172.194,75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5" w:type="dxa"/>
            <w:gridSpan w:val="2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IV</w:t>
            </w:r>
          </w:p>
        </w:tc>
        <w:tc>
          <w:tcPr>
            <w:tcW w:w="980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1.997,35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115.846,30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70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139.814,50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141.811,85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5" w:type="dxa"/>
            <w:gridSpan w:val="2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III</w:t>
            </w:r>
          </w:p>
        </w:tc>
        <w:tc>
          <w:tcPr>
            <w:tcW w:w="980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1.013,49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67.903,83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57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57.768,93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56.755,44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5" w:type="dxa"/>
            <w:gridSpan w:val="2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II</w:t>
            </w:r>
          </w:p>
        </w:tc>
        <w:tc>
          <w:tcPr>
            <w:tcW w:w="980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893,45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71.476,00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24.123,15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24.123,15</w:t>
            </w:r>
          </w:p>
        </w:tc>
      </w:tr>
      <w:tr w:rsidR="00BA00A7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36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5" w:type="dxa"/>
            <w:gridSpan w:val="2"/>
            <w:vAlign w:val="center"/>
            <w:hideMark/>
          </w:tcPr>
          <w:p w:rsidR="00076F4E" w:rsidRPr="006918D0" w:rsidRDefault="00076F4E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</w:t>
            </w:r>
          </w:p>
        </w:tc>
        <w:tc>
          <w:tcPr>
            <w:tcW w:w="980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791,11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120.248,72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117.875,39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116.293,17</w:t>
            </w:r>
          </w:p>
        </w:tc>
      </w:tr>
      <w:tr w:rsidR="00076F4E" w:rsidRPr="006918D0" w:rsidTr="00BA00A7">
        <w:trPr>
          <w:trHeight w:val="270"/>
          <w:jc w:val="center"/>
        </w:trPr>
        <w:tc>
          <w:tcPr>
            <w:tcW w:w="623" w:type="dxa"/>
            <w:vMerge/>
            <w:vAlign w:val="center"/>
            <w:hideMark/>
          </w:tcPr>
          <w:p w:rsidR="00076F4E" w:rsidRPr="006918D0" w:rsidRDefault="00076F4E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481" w:type="dxa"/>
            <w:gridSpan w:val="4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Subtotal G-II</w:t>
            </w:r>
          </w:p>
        </w:tc>
        <w:tc>
          <w:tcPr>
            <w:tcW w:w="983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399</w:t>
            </w:r>
          </w:p>
        </w:tc>
        <w:tc>
          <w:tcPr>
            <w:tcW w:w="1275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490.271,35</w:t>
            </w:r>
          </w:p>
        </w:tc>
        <w:tc>
          <w:tcPr>
            <w:tcW w:w="1560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366</w:t>
            </w:r>
          </w:p>
        </w:tc>
        <w:tc>
          <w:tcPr>
            <w:tcW w:w="1716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511.776,72</w:t>
            </w:r>
          </w:p>
        </w:tc>
        <w:tc>
          <w:tcPr>
            <w:tcW w:w="705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507" w:type="dxa"/>
            <w:shd w:val="clear" w:color="000000" w:fill="D9D9D9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511.178,36</w:t>
            </w:r>
          </w:p>
        </w:tc>
      </w:tr>
      <w:tr w:rsidR="00076F4E" w:rsidRPr="006918D0" w:rsidTr="00BA00A7">
        <w:trPr>
          <w:trHeight w:val="270"/>
          <w:jc w:val="center"/>
        </w:trPr>
        <w:tc>
          <w:tcPr>
            <w:tcW w:w="5104" w:type="dxa"/>
            <w:gridSpan w:val="5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83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487</w:t>
            </w:r>
          </w:p>
        </w:tc>
        <w:tc>
          <w:tcPr>
            <w:tcW w:w="1275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1.444.803,65</w:t>
            </w:r>
          </w:p>
        </w:tc>
        <w:tc>
          <w:tcPr>
            <w:tcW w:w="1560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462</w:t>
            </w:r>
          </w:p>
        </w:tc>
        <w:tc>
          <w:tcPr>
            <w:tcW w:w="1716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1.438.997,00</w:t>
            </w:r>
          </w:p>
        </w:tc>
        <w:tc>
          <w:tcPr>
            <w:tcW w:w="705" w:type="dxa"/>
            <w:vAlign w:val="center"/>
            <w:hideMark/>
          </w:tcPr>
          <w:p w:rsidR="00076F4E" w:rsidRPr="006918D0" w:rsidRDefault="00076F4E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507" w:type="dxa"/>
            <w:vAlign w:val="center"/>
            <w:hideMark/>
          </w:tcPr>
          <w:p w:rsidR="00076F4E" w:rsidRPr="006918D0" w:rsidRDefault="00076F4E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1.438.398,64</w:t>
            </w:r>
          </w:p>
        </w:tc>
      </w:tr>
    </w:tbl>
    <w:p w:rsidR="00B4533B" w:rsidRPr="006918D0" w:rsidRDefault="00B4533B" w:rsidP="00B4533B">
      <w:pPr>
        <w:spacing w:after="200"/>
        <w:rPr>
          <w:strike/>
          <w:sz w:val="24"/>
          <w:szCs w:val="24"/>
        </w:rPr>
      </w:pPr>
    </w:p>
    <w:p w:rsidR="00BA00A7" w:rsidRPr="006918D0" w:rsidRDefault="00BA00A7">
      <w:pPr>
        <w:rPr>
          <w:strike/>
        </w:rPr>
      </w:pPr>
      <w:r w:rsidRPr="006918D0">
        <w:rPr>
          <w:strike/>
        </w:rPr>
        <w:br w:type="page"/>
      </w:r>
    </w:p>
    <w:tbl>
      <w:tblPr>
        <w:tblW w:w="118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842"/>
        <w:gridCol w:w="1288"/>
        <w:gridCol w:w="1100"/>
        <w:gridCol w:w="833"/>
        <w:gridCol w:w="1400"/>
        <w:gridCol w:w="792"/>
        <w:gridCol w:w="1400"/>
        <w:gridCol w:w="759"/>
        <w:gridCol w:w="1401"/>
      </w:tblGrid>
      <w:tr w:rsidR="00BA00A7" w:rsidRPr="006918D0" w:rsidTr="00BA00A7">
        <w:trPr>
          <w:trHeight w:val="227"/>
          <w:jc w:val="center"/>
        </w:trPr>
        <w:tc>
          <w:tcPr>
            <w:tcW w:w="11882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sz w:val="24"/>
                <w:szCs w:val="24"/>
              </w:rPr>
            </w:pPr>
            <w:r w:rsidRPr="006918D0">
              <w:rPr>
                <w:strike/>
              </w:rPr>
              <w:br w:type="page"/>
            </w:r>
            <w:r w:rsidRPr="006918D0">
              <w:rPr>
                <w:strike/>
                <w:sz w:val="24"/>
                <w:szCs w:val="24"/>
              </w:rPr>
              <w:br w:type="page"/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ANEXO II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1882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QUADRO DE CARGOS APROVADO PELA LEI DE CRIAÇÃO DA AGÊNCIA</w:t>
            </w:r>
          </w:p>
          <w:p w:rsidR="00BA00A7" w:rsidRPr="006918D0" w:rsidRDefault="00BA00A7" w:rsidP="00BA00A7">
            <w:pPr>
              <w:jc w:val="center"/>
              <w:rPr>
                <w:strike/>
                <w:color w:val="0000FF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</w:tr>
      <w:tr w:rsidR="00BA00A7" w:rsidRPr="006918D0" w:rsidTr="00BA00A7">
        <w:trPr>
          <w:trHeight w:val="276"/>
          <w:jc w:val="center"/>
        </w:trPr>
        <w:tc>
          <w:tcPr>
            <w:tcW w:w="10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Função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223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Lei 9986/2000</w:t>
            </w:r>
          </w:p>
        </w:tc>
        <w:tc>
          <w:tcPr>
            <w:tcW w:w="2192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Anterior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Nova</w:t>
            </w:r>
          </w:p>
        </w:tc>
      </w:tr>
      <w:tr w:rsidR="00BA00A7" w:rsidRPr="006918D0" w:rsidTr="00BA00A7">
        <w:trPr>
          <w:trHeight w:val="276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192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Direção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CD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14.376,03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CD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13.657,23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54.628,92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Executiva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12.938,41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64.692,05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207.014,56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207.014,56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11.500,81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241.517,01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287.520,25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287.520,25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10.782,01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517.536,48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CGE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7.188,00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208.452,00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208.452,00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Assessoria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11.500,81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80.505,67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80.505,67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10.782,01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53.910,05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3.001,72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9.005,16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9.005,16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Assistência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CAS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2.270,70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CAS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1.967,94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7.871,76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11.807,64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7.871,76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Subtotal G-I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954.532,30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927.220,28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923.284,40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II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2.733,25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114.796,50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172.194,75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172.194,75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1.997,35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115.846,30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141.811,85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145.806,55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1.013,49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67.903,83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56.755,44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56.755,44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893,45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71.476,00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24.123,15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24.123,15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791,11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120.248,72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116.293,17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116.293,17</w:t>
            </w:r>
          </w:p>
        </w:tc>
      </w:tr>
      <w:tr w:rsidR="00BA00A7" w:rsidRPr="006918D0" w:rsidTr="00BA00A7">
        <w:trPr>
          <w:trHeight w:val="240"/>
          <w:jc w:val="center"/>
        </w:trPr>
        <w:tc>
          <w:tcPr>
            <w:tcW w:w="10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Subtotal G-II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490.271,35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511.178,36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begin"/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instrText xml:space="preserve"> =SUM(ABOVE) </w:instrTex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separate"/>
            </w:r>
            <w:r w:rsidRPr="006918D0">
              <w:rPr>
                <w:b/>
                <w:bCs/>
                <w:strike/>
                <w:noProof/>
                <w:color w:val="000000"/>
                <w:sz w:val="24"/>
                <w:szCs w:val="24"/>
              </w:rPr>
              <w:t>366</w: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begin"/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instrText xml:space="preserve"> =SUM(ABOVE) </w:instrTex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separate"/>
            </w:r>
            <w:r w:rsidRPr="006918D0">
              <w:rPr>
                <w:b/>
                <w:bCs/>
                <w:strike/>
                <w:noProof/>
                <w:color w:val="000000"/>
                <w:sz w:val="24"/>
                <w:szCs w:val="24"/>
              </w:rPr>
              <w:t>515.173,06</w:t>
            </w: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fldChar w:fldCharType="end"/>
            </w:r>
          </w:p>
        </w:tc>
      </w:tr>
      <w:tr w:rsidR="00BA00A7" w:rsidRPr="006918D0" w:rsidTr="00E31331">
        <w:trPr>
          <w:trHeight w:val="240"/>
          <w:jc w:val="center"/>
        </w:trPr>
        <w:tc>
          <w:tcPr>
            <w:tcW w:w="529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1.444.803,65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1.438.398,64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A00A7" w:rsidRPr="006918D0" w:rsidRDefault="00BA00A7" w:rsidP="00BA00A7">
            <w:pPr>
              <w:jc w:val="right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1.438.457,46</w:t>
            </w:r>
          </w:p>
        </w:tc>
      </w:tr>
    </w:tbl>
    <w:p w:rsidR="00E31331" w:rsidRPr="006918D0" w:rsidRDefault="00E31331" w:rsidP="00B4533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sz w:val="24"/>
          <w:szCs w:val="24"/>
        </w:rPr>
      </w:pPr>
    </w:p>
    <w:p w:rsidR="00B4533B" w:rsidRPr="006918D0" w:rsidRDefault="00E31331" w:rsidP="00214909">
      <w:pPr>
        <w:jc w:val="center"/>
        <w:rPr>
          <w:b/>
          <w:strike/>
          <w:sz w:val="24"/>
          <w:szCs w:val="24"/>
        </w:rPr>
      </w:pPr>
      <w:r w:rsidRPr="006918D0">
        <w:rPr>
          <w:strike/>
        </w:rPr>
        <w:br w:type="page"/>
      </w:r>
      <w:r w:rsidR="00214909" w:rsidRPr="006918D0">
        <w:rPr>
          <w:b/>
          <w:strike/>
          <w:sz w:val="24"/>
          <w:szCs w:val="24"/>
        </w:rPr>
        <w:t>ANEXO II</w:t>
      </w:r>
    </w:p>
    <w:p w:rsidR="00214909" w:rsidRPr="006918D0" w:rsidRDefault="00214909" w:rsidP="00B4533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QUADRO DE CARGOS APROVADO PELA LEI DE CRIAÇÃO DA AGÊNCIA</w:t>
      </w:r>
    </w:p>
    <w:p w:rsidR="00214909" w:rsidRPr="006918D0" w:rsidRDefault="00214909" w:rsidP="00B4533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color w:val="0000FF"/>
          <w:sz w:val="24"/>
          <w:szCs w:val="24"/>
        </w:rPr>
      </w:pPr>
      <w:r w:rsidRPr="006918D0">
        <w:rPr>
          <w:b/>
          <w:strike/>
          <w:color w:val="0000FF"/>
          <w:sz w:val="24"/>
          <w:szCs w:val="24"/>
        </w:rPr>
        <w:t>(Redação dada pela Resolução – RDC nº 47, de 6 de novembro de 2015)</w:t>
      </w:r>
    </w:p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34"/>
        <w:gridCol w:w="1049"/>
        <w:gridCol w:w="1100"/>
        <w:gridCol w:w="824"/>
        <w:gridCol w:w="1400"/>
        <w:gridCol w:w="778"/>
        <w:gridCol w:w="1400"/>
        <w:gridCol w:w="745"/>
        <w:gridCol w:w="1400"/>
      </w:tblGrid>
      <w:tr w:rsidR="00214909" w:rsidRPr="006918D0" w:rsidTr="00206984">
        <w:trPr>
          <w:trHeight w:val="276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Função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22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Lei 9986/2000</w:t>
            </w:r>
          </w:p>
        </w:tc>
        <w:tc>
          <w:tcPr>
            <w:tcW w:w="2178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Anterior</w:t>
            </w:r>
          </w:p>
        </w:tc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Nova</w:t>
            </w:r>
          </w:p>
        </w:tc>
      </w:tr>
      <w:tr w:rsidR="00214909" w:rsidRPr="006918D0" w:rsidTr="00206984">
        <w:trPr>
          <w:trHeight w:val="276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Direção</w:t>
            </w:r>
          </w:p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CD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CD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13.657,23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Executiva</w:t>
            </w:r>
          </w:p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12.938,41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64.692,05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207.014,56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207.014,56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11.500,81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241.517,01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287.520,25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287.520,25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10.782,01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517.536,48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7.188,00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208.452,00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215.640,00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</w:t>
            </w:r>
          </w:p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11.500,81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80.505,67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69.004,86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10.782,01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3.001,72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9.005,16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6.003,44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Assistência</w:t>
            </w:r>
          </w:p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2.270,70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1.967,94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Subtotal G-I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954.532,30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923.284,40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915.969,87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214909" w:rsidRPr="006918D0" w:rsidRDefault="00214909" w:rsidP="00206984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II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Técnica</w:t>
            </w:r>
          </w:p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2.733,25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114.796,50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172.194,75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172.194,75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1.997,35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115.846,30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145.806,55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157.790,65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1.013,49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67.903,83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56.755,44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55.741,95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893,45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71.476,00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24.123,15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24.123,15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791,11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120.248,72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116.293,17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right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116.293,17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9" w:rsidRPr="006918D0" w:rsidRDefault="00214909" w:rsidP="00206984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Subtotal G-II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490.271,35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515.173,06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526.143,67</w:t>
            </w:r>
          </w:p>
        </w:tc>
      </w:tr>
      <w:tr w:rsidR="00214909" w:rsidRPr="006918D0" w:rsidTr="00206984">
        <w:trPr>
          <w:trHeight w:val="240"/>
          <w:jc w:val="center"/>
        </w:trPr>
        <w:tc>
          <w:tcPr>
            <w:tcW w:w="43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Total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1.444.803,65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1.438.457,46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14909" w:rsidRPr="006918D0" w:rsidRDefault="00214909" w:rsidP="00206984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1.442.113,54</w:t>
            </w:r>
          </w:p>
        </w:tc>
      </w:tr>
    </w:tbl>
    <w:p w:rsidR="00214909" w:rsidRPr="006918D0" w:rsidRDefault="00214909" w:rsidP="00B4533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sz w:val="24"/>
          <w:szCs w:val="24"/>
        </w:rPr>
      </w:pPr>
    </w:p>
    <w:p w:rsidR="00F56ADB" w:rsidRPr="006918D0" w:rsidRDefault="00F56ADB" w:rsidP="00F56ADB">
      <w:pPr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ANEXO II</w:t>
      </w:r>
    </w:p>
    <w:p w:rsidR="00F56ADB" w:rsidRPr="006918D0" w:rsidRDefault="00F56ADB" w:rsidP="00F56AD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sz w:val="24"/>
          <w:szCs w:val="24"/>
        </w:rPr>
      </w:pPr>
      <w:r w:rsidRPr="006918D0">
        <w:rPr>
          <w:b/>
          <w:strike/>
          <w:sz w:val="24"/>
          <w:szCs w:val="24"/>
        </w:rPr>
        <w:t>QUADRO DE CARGOS APROVADO PELA LEI DE CRIAÇÃO DA AGÊNCIA</w:t>
      </w:r>
    </w:p>
    <w:p w:rsidR="00F56ADB" w:rsidRPr="006918D0" w:rsidRDefault="00F56ADB" w:rsidP="00F56AD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color w:val="0000FF"/>
          <w:sz w:val="24"/>
          <w:szCs w:val="24"/>
        </w:rPr>
      </w:pPr>
      <w:r w:rsidRPr="006918D0">
        <w:rPr>
          <w:b/>
          <w:strike/>
          <w:color w:val="0000FF"/>
          <w:sz w:val="24"/>
          <w:szCs w:val="24"/>
        </w:rPr>
        <w:t>(Redação dada pela Resolução – RDC nº 57, de 23 de dezembro de 2015)</w:t>
      </w:r>
    </w:p>
    <w:tbl>
      <w:tblPr>
        <w:tblW w:w="11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1276"/>
        <w:gridCol w:w="1363"/>
        <w:gridCol w:w="1100"/>
        <w:gridCol w:w="736"/>
        <w:gridCol w:w="1284"/>
        <w:gridCol w:w="1400"/>
        <w:gridCol w:w="1275"/>
        <w:gridCol w:w="1400"/>
        <w:gridCol w:w="1267"/>
      </w:tblGrid>
      <w:tr w:rsidR="00F56ADB" w:rsidRPr="006918D0" w:rsidTr="00C91CC1">
        <w:trPr>
          <w:trHeight w:val="276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Função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Nível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2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Lei 9986/2000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Anterior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Situação Nova</w:t>
            </w:r>
          </w:p>
        </w:tc>
      </w:tr>
      <w:tr w:rsidR="00F56ADB" w:rsidRPr="006918D0" w:rsidTr="00C91CC1">
        <w:trPr>
          <w:trHeight w:val="276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75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Qd.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Valor R$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Direção</w:t>
            </w:r>
          </w:p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CD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14.376,03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CD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13.657,23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54.628,92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Executiva</w:t>
            </w:r>
          </w:p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12.938,41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64.692,05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207.014,56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207.014,56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11.500,81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241.517,01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287.520,25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287.520,25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10.782,01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517.536,48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7.188,00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215.640,00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215.640,00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</w:t>
            </w:r>
          </w:p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11.500,81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69.004,86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69.004,86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10.782,01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53.910,05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3.001,72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6.003,44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6.003,44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Assistência</w:t>
            </w:r>
          </w:p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2.270,70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0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1.967,94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7.871,76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Subtotal G-I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954.532,30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915.969,87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915.969,87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F56ADB" w:rsidRPr="006918D0" w:rsidRDefault="00F56ADB" w:rsidP="00C91CC1">
            <w:pPr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Grupo II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Técnica</w:t>
            </w:r>
          </w:p>
          <w:p w:rsidR="00F56ADB" w:rsidRPr="006918D0" w:rsidRDefault="00F56ADB" w:rsidP="00C91CC1">
            <w:pPr>
              <w:rPr>
                <w:strike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2.733,25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114.796,50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172.194,75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172.194,75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1.997,35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115.846,30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157.790,65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157.790,65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1.013,49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67.903,83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55.741,95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55.741,95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893,45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71.476,00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24.123,15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24.123,15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791,11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152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120.248,72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116.293,17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117.875,39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7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56ADB" w:rsidRPr="006918D0" w:rsidRDefault="00F56ADB" w:rsidP="00C91CC1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Subtotal G-II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399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490.271,35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526.143,67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373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527.725,89</w:t>
            </w:r>
          </w:p>
        </w:tc>
      </w:tr>
      <w:tr w:rsidR="00F56ADB" w:rsidRPr="006918D0" w:rsidTr="00C91CC1">
        <w:trPr>
          <w:trHeight w:val="240"/>
          <w:jc w:val="center"/>
        </w:trPr>
        <w:tc>
          <w:tcPr>
            <w:tcW w:w="45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Total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1.444.803,65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1.442.113,54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56ADB" w:rsidRPr="006918D0" w:rsidRDefault="00F56ADB" w:rsidP="00C91CC1">
            <w:pPr>
              <w:jc w:val="center"/>
              <w:rPr>
                <w:b/>
                <w:strike/>
                <w:sz w:val="24"/>
                <w:szCs w:val="24"/>
              </w:rPr>
            </w:pPr>
            <w:r w:rsidRPr="006918D0">
              <w:rPr>
                <w:b/>
                <w:strike/>
                <w:sz w:val="24"/>
                <w:szCs w:val="24"/>
              </w:rPr>
              <w:t>466</w:t>
            </w:r>
          </w:p>
        </w:tc>
      </w:tr>
    </w:tbl>
    <w:p w:rsidR="00F56ADB" w:rsidRPr="006918D0" w:rsidRDefault="00F56ADB" w:rsidP="00F56ADB">
      <w:pPr>
        <w:tabs>
          <w:tab w:val="left" w:pos="7920"/>
        </w:tabs>
        <w:autoSpaceDE w:val="0"/>
        <w:autoSpaceDN w:val="0"/>
        <w:adjustRightInd w:val="0"/>
        <w:spacing w:after="200"/>
        <w:ind w:right="44"/>
        <w:jc w:val="center"/>
        <w:rPr>
          <w:b/>
          <w:strike/>
          <w:color w:val="0000FF"/>
          <w:sz w:val="24"/>
          <w:szCs w:val="24"/>
        </w:rPr>
      </w:pPr>
    </w:p>
    <w:p w:rsidR="00E31331" w:rsidRPr="006918D0" w:rsidRDefault="00F56ADB" w:rsidP="00B4533B">
      <w:pPr>
        <w:tabs>
          <w:tab w:val="left" w:pos="7920"/>
        </w:tabs>
        <w:spacing w:after="200"/>
        <w:ind w:right="-27"/>
        <w:jc w:val="center"/>
        <w:rPr>
          <w:b/>
          <w:bCs/>
          <w:strike/>
          <w:sz w:val="24"/>
          <w:szCs w:val="24"/>
        </w:rPr>
      </w:pPr>
      <w:r w:rsidRPr="006918D0">
        <w:rPr>
          <w:b/>
          <w:bCs/>
          <w:strike/>
          <w:sz w:val="24"/>
          <w:szCs w:val="24"/>
        </w:rPr>
        <w:br w:type="page"/>
      </w:r>
      <w:r w:rsidR="00E31331" w:rsidRPr="006918D0">
        <w:rPr>
          <w:b/>
          <w:bCs/>
          <w:strike/>
          <w:sz w:val="24"/>
          <w:szCs w:val="24"/>
        </w:rPr>
        <w:t>ANEXO III</w:t>
      </w:r>
    </w:p>
    <w:p w:rsidR="00076F4E" w:rsidRPr="006918D0" w:rsidRDefault="00076F4E" w:rsidP="00B4533B">
      <w:pPr>
        <w:tabs>
          <w:tab w:val="left" w:pos="7920"/>
        </w:tabs>
        <w:spacing w:after="200"/>
        <w:ind w:right="-27"/>
        <w:jc w:val="center"/>
        <w:rPr>
          <w:b/>
          <w:strike/>
          <w:sz w:val="24"/>
          <w:szCs w:val="24"/>
        </w:rPr>
      </w:pPr>
      <w:r w:rsidRPr="006918D0">
        <w:rPr>
          <w:b/>
          <w:bCs/>
          <w:strike/>
          <w:sz w:val="24"/>
          <w:szCs w:val="24"/>
        </w:rPr>
        <w:t>Quadro demonstrativo de cargos em comissão e de cargos comissionados técnicos das unidades organizacionais</w:t>
      </w:r>
    </w:p>
    <w:tbl>
      <w:tblPr>
        <w:tblW w:w="1417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394"/>
        <w:gridCol w:w="2039"/>
        <w:gridCol w:w="2214"/>
        <w:gridCol w:w="2606"/>
        <w:gridCol w:w="1984"/>
      </w:tblGrid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Nº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ÓRGÃO/UNIDADE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SIGLAS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QUANTIDADE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DENOMINAÇÃO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CARGO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Diretoria Colegiada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DICOL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Diretor-Presidente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CD I 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CD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Diretoria de Gestão Institucional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Diretoria de Regulação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Coordenação e Articulação do Sistema Nacional de Vigilância Sanitária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DSNVS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Diretoria de Autorização e Registro Sanitários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DIARE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Autorização e Registro Sanitários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DIARE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jc w:val="center"/>
              <w:rPr>
                <w:strike/>
                <w:sz w:val="24"/>
                <w:szCs w:val="24"/>
                <w:highlight w:val="yellow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Diretoria de Controle e Monitoramento Sanitários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DIMON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Controle e Monitoramento Sanitários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DIMON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BA00A7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jc w:val="center"/>
              <w:rPr>
                <w:strike/>
                <w:sz w:val="24"/>
                <w:szCs w:val="24"/>
                <w:highlight w:val="yellow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0A7" w:rsidRPr="006918D0" w:rsidRDefault="00BA00A7" w:rsidP="00BA00A7">
            <w:pPr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tabs>
                <w:tab w:val="left" w:pos="7920"/>
              </w:tabs>
              <w:autoSpaceDE w:val="0"/>
              <w:autoSpaceDN w:val="0"/>
              <w:adjustRightInd w:val="0"/>
              <w:spacing w:after="200"/>
              <w:ind w:right="44"/>
              <w:jc w:val="both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Gestão Institucional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Regulação Sanitária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Coordenação e Articulação do Sistema Nacional de Vigilância Sanitária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DSNVS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5.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Autorização e Registro Sanitários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DIARE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6.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Diretoria de Controle e Monitoramento Sanitários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DIMON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Adjunto de Diretor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7.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Secretaria Executiva da Diretoria Colegiada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SECOL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Secretaria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Gabinete do Diretor-Presidente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GADIP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Gabinete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 de Projeto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Registro e Publicidade de Atos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Auxiliar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Administrativa da Comissão de Ética da ANVISA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Apoio Administrativo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COADI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 de Projeto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Segurança Institucional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CSEGI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Secretaria Executiva da Câmara de Regulação do Mercado de Medicamentos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SCMED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Secretário Executivo da CMED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Comunicação, Eventos e Cerimonial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ASCOM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Eventos e Cerimonial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CEVEC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Imprensa e Comunicação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CECOM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Produção Editorial e Publicidade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COPEP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Planejamento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APLAN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Programas Estratégicos e Gestão Orçamentária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Gestão da Qualidade em Processos Organizacionais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CQUAL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Articulação e Relações Institucionais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ASREL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Assuntos Internacionais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AINTE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Articulação Internacional e Convergência Regulatória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Cooperação Internacional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COCIN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8.9.3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Missões Internacionais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COMIN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8.10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Parlamentar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ASPAR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Gabinete do Diretor-Presidente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GADIP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Gabinete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 de Projeto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Registro e Publicidade de Atos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Auxiliar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Administrativa da Comissão de Ética da ANVISA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Apoio Administrativo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COADI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 de Projeto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Segurança Institucional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CSEGI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Secretaria Executiva da Câmara de Regulação do Mercado de Medicamentos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SCMED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Secretário Executivo da CMED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Comunicação, Eventos e Cerimonial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ASCOM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Eventos e Cerimonial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CEVEC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Imprensa e Comunicação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CECOM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Produção Editorial e Publicidade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COPEP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Planejamento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APLAN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Programas Estratégicos e Gestão Orçamentária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Gestão da Qualidade em Processos Organizacionais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CQUAL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de Assuntos Internacionais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AINTE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Articulação Internacional e Convergência Regulatória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Cooperação Internacional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COCIN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8.8.3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Missões Internacionais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COMIN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8.9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Assessoria Parlamentar</w:t>
            </w:r>
            <w:r w:rsidR="00206984" w:rsidRPr="006918D0">
              <w:rPr>
                <w:strike/>
                <w:sz w:val="24"/>
                <w:szCs w:val="24"/>
              </w:rPr>
              <w:t xml:space="preserve"> </w:t>
            </w:r>
            <w:r w:rsidR="00206984"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47, de 6 de novembro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ASPAR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 I</w:t>
            </w:r>
          </w:p>
        </w:tc>
      </w:tr>
      <w:tr w:rsidR="00214909" w:rsidRPr="006918D0" w:rsidTr="00206984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4909" w:rsidRPr="006918D0" w:rsidRDefault="00214909" w:rsidP="00214909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Procuradoria Federal junto à ANVISA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PROCR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Procurador-Chefe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Subprocurador-Chefe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206984">
            <w:pPr>
              <w:spacing w:after="20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Licitações, Contratos e Convênios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COLIC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Consultivo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CCONS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Assuntos Judiciais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CAJUD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9.4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Dívida Ativa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CODVA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Ouvidoria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OUVID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Ouvidor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11.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Corregedoria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CORGE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Corregedor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12.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Auditoria Interna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AUDIT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Auditor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13.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Correlatos 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SUALI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Superintendente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em Correlatos 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CORCA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Pesquisa Clinica em Correlatos 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COPEA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GGALI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Gerente-Geral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Avaliação de Risco e Eficácia para Alegações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GEARE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Regulamentação de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Coordenador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Cosméticos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GGCOS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Gerente-Geral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Gerência–Geral de Tecnologia de Produtos para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GGTPS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Gerente-Geral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13.5.1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Tecnologia em Equipamentos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GQUIP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13.5.2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Gerência de Produtos Diagnósticos de Uso </w:t>
            </w:r>
            <w:r w:rsidRPr="006918D0">
              <w:rPr>
                <w:b/>
                <w:bCs/>
                <w:i/>
                <w:iCs/>
                <w:strike/>
                <w:color w:val="000000"/>
                <w:sz w:val="24"/>
                <w:szCs w:val="24"/>
              </w:rPr>
              <w:t>In-Vitro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GEVIT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13.5.3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Tecnologia de Materiais de Uso em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GEMAT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Saneantes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GGSAN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Gerente-Geral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14.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Toxicologia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SUTOX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em Toxicologia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COART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Produtos Derivados do Tabaco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GGTAB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Toxicologia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GGTOX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Produtos Novos e de Baixo Risco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CPNBR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14.3.2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Produtos Equivalentes e Outros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CPREQ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15.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Gestão Interna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Gestão Administrativa e Financeira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GGGAF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Assessor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Administrativa de Infrações Sanitárias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CADIS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Contabilidade e Custos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CCONT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Licitações Públicas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COLIP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Orçamento e Finanças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GEFIC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Gestão de Contratos e Parcerias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GECOP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Gestão da Arrecadação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GEGAR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15.1.7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Logística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GELOG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CAS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Gestão de Pessoas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GGPES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Legislação de Pessoal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COLEP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Saúde e Qualidade de Vida no Trabalho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CSQTV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15.2.3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Gestão de Pessoas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GEPES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15.2.4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Desenvolvimento de Pessoas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GEDEP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Gerência-Geral de Gestão de Tecnologia da Informação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GGTIN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Segurança Tecnológica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COSET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Projetos e Governança de Tecnologia da Informação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CGOTI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15.3.3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Desenvolvimento de Sistemas de Informação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GESIS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15.3.4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Operações de Tecnologia da Informação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GEOTI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Conhecimento, Informação e Pesquisa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GGCIP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Gestão do Conhecimento e Pesquisa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CGCOP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Atendimento ao Público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COATE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15.4.3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Gestão Documental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GEDOC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16.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Regulação Sanitária e Acompanhamento de Mercados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Regulamentação e Boas Práticas Regulatórias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Gestão do Processo de Regulamentação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COGPR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Assessoramento Estratégico em Regulação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Gestão do Estoque Regulatório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COGES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Análise de Impacto Regulatório e Acompanhamento de Mercados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GGAIR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Análise de Impacto Regulatório e Assessoramento Econômico em Regulação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COAIR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16.2.2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Informações Econômicas e Acompanhamento de Mercados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CMERC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17.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Inspeção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SUINP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da Inspeção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COARE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Gestão da Qualidade do Processo de Inspeção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CGPIS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Autorização de Funcionamento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GEAFE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Inspeção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GGINP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Inspeção de Insumos Farmacêuticos, Saneantes, Cosméticos e Alimentos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COISC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Inspeção de Medicamentos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COIME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17.4.3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Inspeção de Produtos para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CPROD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18.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Fiscalização, Controle e Monitoramento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SUCOM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do Centro de Gerenciamento de Informações sobre Emergências em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CVISA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de Fiscalização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Monitoramento de Produtos Sujeitos à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GGMON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Análise e Avaliação de Risco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GEAAR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Monitoramento do Risco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GEMOR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Fiscalização de Produtos Sujeitos à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GGFIS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Fiscalização de Produtos Sujeitos à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GFISC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Análise e Julgamento de Processo Administrativo Sanitário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CORJU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18.4.3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Processo Administrativo Sanitário 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COPAS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18.4.4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Produtos Controlados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CPCON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Laboratórios de Saúde Pública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GELAS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19.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Serviços de Saúde e Gestão do Sistema Nacional de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SSNVS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Programas Estratégicos do Sistema Único de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Coordenação e Fortalecimento do Sistema Nacional de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GGCOF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Fortalecimento do Sistema Nacional de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GFORT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Coordenação do Sistema Nacional de Vigilância Sanitária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GCORD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Tecnologia em Serviços de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GGTES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Regulamentação e Controle Sanitário em Serviços de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GRECS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19.3.2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Vigilância e Monitoramento em Serviços de Saúde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GVIMS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20.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F56ADB" w:rsidRPr="006918D0" w:rsidTr="001201ED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Superintendência de Portos, Aeroportos, Fronteiras e Recintos Alfandegados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F56ADB" w:rsidRPr="006918D0" w:rsidTr="001201ED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6ADB" w:rsidRPr="006918D0" w:rsidRDefault="00F56ADB" w:rsidP="00F56ADB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72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Técnica de Análise e Julgamento de Infrações Sanitárias em Portos, Aeroportos, Fronteiras e Recintos  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CAJIS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em  Portos, Aeroportos, 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Infraestrutura Administrativa em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CINAD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CVPAF/AC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Assis Brasil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Epitaciolândia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20.5.1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Maceió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20.5.2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Maceió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CVPAF/AM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Manaus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Manaus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Tabatinga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CVPAF/AP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Santana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Macapá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20.7.3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Oiapoque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PVPAF/AP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CVPAF/BA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Salvador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PVPAF/BA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Salvador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PVPAF/BA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20.8.3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Ilhéus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PVPAF/BA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20.8.4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Porto Seguro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PVPAF/BA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Fortaleza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Fortaleza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Pecem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PVPAF/CE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CVPAF/DF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Vitória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Tubarão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Vila Velha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PVPAF/ES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CVPAF/GO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Goiânia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PVPAF/GO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Anápolis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PVPAF/GO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CVPAF/MA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São Luis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Itaqui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CVPAF/MG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Confins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PVPAF/MG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CVPAF/MT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20.15.1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Cuiabá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CVPAF/MS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Campo Grande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Ponta Porã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Corumbá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PVPAF/MS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Belém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Vila do Conde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20.17.3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Belém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CVPAF/PB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João Pessoa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PVPAF/PB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 - Recife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 - Recife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20.19.3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 - Suape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20.20.1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Teresina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20.20.2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Parnaíba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– Aeroporto e Fronteira Foz do Iguaçu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Curitiba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Paranaguá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20.21.4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Guaíra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Vigilância Sanitária de Portos, Aero- portos, Fronteiras e Recintos Alfandegados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Foz do Iguaçu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Curitiba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Paranaguá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Guaíra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D520BF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20.21.5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Maringá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PVPAF/PR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Macaé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Rio de Janeiro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20.22.3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Itaguaí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Vigilância Sanitária de Portos, Aeroportos, Fronteiras e Recintos Alfandegados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– Macaé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20.22.2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Rio de Janeiro – Aeroporto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F83DBF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20.22.3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– Itaguaí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39, de 26 de agosto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3DBF" w:rsidRPr="006918D0" w:rsidRDefault="00F83DBF" w:rsidP="00F83DBF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20.22.4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Rio de Janeiro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PVPAF/RJ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20.23.1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– São Gonçalo do Amarante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20.23.2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Natal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20.24.1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Porto Velho - Aeroporto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20.24.2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Porto Velho - Porto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20.24.3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Guajará Mirim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20.25.1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Pacaraima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20.25.2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Bonfim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Porto Alegre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Uruguaiana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Chuí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Jaguarão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Santana do Livramento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São Borja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20.26.7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Rio Grande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PVPAF/RS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Florianópolis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Joinville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Dionísio Cerqueira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Imbituba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São Francisco do Sul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20.27.6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Vale do Itajaí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20.28.1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Aracajú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20.28.2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Barra dos Coqueiros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Campinas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Guarulhos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Santos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20.29.4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São Paulo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Coordenação de Vigilância Sanitária de Portos, Aero- portos, Fronteiras e Recintos Alfandegados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– Campinas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– Guarulhos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Santos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São Paulo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6918D0" w:rsidRPr="006918D0" w:rsidTr="00B21CFE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20.29.5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PVPAF - São Sebastião </w:t>
            </w:r>
            <w:r w:rsidRPr="006918D0">
              <w:rPr>
                <w:b/>
                <w:strike/>
                <w:color w:val="0000FF"/>
                <w:sz w:val="24"/>
                <w:szCs w:val="24"/>
              </w:rPr>
              <w:t>(Redação dada pela Resolução – RDC nº 57, de 23 de dezembro de 2015)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PVPAF/SP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18D0" w:rsidRPr="006918D0" w:rsidRDefault="006918D0" w:rsidP="006918D0">
            <w:pPr>
              <w:spacing w:after="24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CVPAF/TO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20.30.1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 - Palmas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PVPAF/TO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Chefe de Posto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Instalações e Serviços de Interesse Sanitário, Meios de Transporte e Viajantes em Portos, Aeroportos e  Fronteiras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GGMIV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Monitoramento de Vigilância em Saúde em Portos, Aeroportos e Fronteiras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CMPAF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Fiscalização em Portos, Aeroportos e Fronteiras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CFPAF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Controle Sanitário em Comércio Exterior em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GGCOE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72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20.32.1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Orientação Operacional das Ações de Fiscalização Sanitária de Produtos e Empresas em Portos, Aeroportos, Fronteiras e Recintos Alfandegados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COPAF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65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b/>
                <w:bCs/>
                <w:strike/>
                <w:color w:val="000000"/>
                <w:sz w:val="24"/>
                <w:szCs w:val="24"/>
              </w:rPr>
            </w:pPr>
            <w:r w:rsidRPr="006918D0">
              <w:rPr>
                <w:b/>
                <w:bCs/>
                <w:strike/>
                <w:color w:val="000000"/>
                <w:sz w:val="24"/>
                <w:szCs w:val="24"/>
              </w:rPr>
              <w:t>21.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Superintendência de Medicamentos e Produtos Biológicos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SUMED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Superintendente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Assessor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Instrução e Análise de Recursos de Medicamentos e Produtos Biológicos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COREC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da Farmacopeia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COFAR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Propriedade Intelectual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COOPI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Pesquisa Clínica em Medicamentos e Produtos Biológicos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COPEC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Bula e Rotulagem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CBREM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Medicamentos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GGMED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Gerente-Geral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Avaliação de Eficácia e Segurança de Medicamentos Sintéticos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GESEF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Avaliação de Tecnologia de Registro de Medicamentos Sintéticos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GRMED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Avaliação de Tecnologia de Pós-Registro de Medicamentos Sintéticos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GEPRE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Equivalência Terapêutica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CETER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Registro de Insumos Farmacêuticos Ativos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COIFA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 xml:space="preserve">Coordenador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Medicamentos Fitoterápicos e Dinamizados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COFID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21.6.7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Coordenação de Medicamentos Específicos, Notificados e Gases Medicinais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COGEM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Coordenador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V</w:t>
            </w:r>
          </w:p>
        </w:tc>
      </w:tr>
      <w:tr w:rsidR="00076F4E" w:rsidRPr="006918D0" w:rsidTr="00BA00A7">
        <w:trPr>
          <w:trHeight w:val="48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Gerência-Geral de Produtos Biológicos, Sangue, Tecidos, Células e Órgãos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GGPBS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Gerente-Geral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III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21.7.1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Produtos Biológicos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GPBIO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21.7.2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Gerência de Sangue, Tecidos, Células e Órgãos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GSTCO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CGE IV</w:t>
            </w:r>
          </w:p>
        </w:tc>
      </w:tr>
      <w:tr w:rsidR="00076F4E" w:rsidRPr="006918D0" w:rsidTr="00BA00A7">
        <w:trPr>
          <w:trHeight w:val="300"/>
          <w:jc w:val="center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color w:val="000000"/>
                <w:sz w:val="24"/>
                <w:szCs w:val="24"/>
              </w:rPr>
            </w:pPr>
            <w:r w:rsidRPr="006918D0">
              <w:rPr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jc w:val="center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Assistente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F4E" w:rsidRPr="006918D0" w:rsidRDefault="00076F4E" w:rsidP="00B4533B">
            <w:pPr>
              <w:spacing w:after="200"/>
              <w:rPr>
                <w:strike/>
                <w:sz w:val="24"/>
                <w:szCs w:val="24"/>
              </w:rPr>
            </w:pPr>
            <w:r w:rsidRPr="006918D0">
              <w:rPr>
                <w:strike/>
                <w:sz w:val="24"/>
                <w:szCs w:val="24"/>
              </w:rPr>
              <w:t>CCT I</w:t>
            </w:r>
          </w:p>
        </w:tc>
      </w:tr>
    </w:tbl>
    <w:p w:rsidR="00B4533B" w:rsidRPr="006918D0" w:rsidRDefault="00B4533B" w:rsidP="00B4533B">
      <w:pPr>
        <w:spacing w:after="200"/>
        <w:rPr>
          <w:strike/>
          <w:sz w:val="24"/>
          <w:szCs w:val="24"/>
        </w:rPr>
      </w:pPr>
    </w:p>
    <w:p w:rsidR="005232D0" w:rsidRPr="00B4533B" w:rsidRDefault="005232D0" w:rsidP="00B4533B">
      <w:pPr>
        <w:autoSpaceDE w:val="0"/>
        <w:autoSpaceDN w:val="0"/>
        <w:adjustRightInd w:val="0"/>
        <w:spacing w:after="200"/>
        <w:jc w:val="both"/>
        <w:rPr>
          <w:sz w:val="24"/>
          <w:szCs w:val="24"/>
        </w:rPr>
      </w:pPr>
    </w:p>
    <w:sectPr w:rsidR="005232D0" w:rsidRPr="00B4533B" w:rsidSect="00BA00A7">
      <w:type w:val="oddPage"/>
      <w:pgSz w:w="16838" w:h="11906" w:orient="landscape" w:code="9"/>
      <w:pgMar w:top="1559" w:right="1418" w:bottom="1701" w:left="1418" w:header="0" w:footer="1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52" w:rsidRDefault="00531952">
      <w:r>
        <w:separator/>
      </w:r>
    </w:p>
  </w:endnote>
  <w:endnote w:type="continuationSeparator" w:id="0">
    <w:p w:rsidR="00531952" w:rsidRDefault="005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984" w:rsidRPr="00B4533B" w:rsidRDefault="00206984" w:rsidP="00B4533B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B4533B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52" w:rsidRDefault="00531952">
      <w:r>
        <w:separator/>
      </w:r>
    </w:p>
  </w:footnote>
  <w:footnote w:type="continuationSeparator" w:id="0">
    <w:p w:rsidR="00531952" w:rsidRDefault="0053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984" w:rsidRDefault="00206984" w:rsidP="00B4533B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206984" w:rsidRPr="00B517AC" w:rsidRDefault="00206984" w:rsidP="00B4533B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4533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206984" w:rsidRPr="00B517AC" w:rsidRDefault="00206984" w:rsidP="00B4533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206984" w:rsidRPr="00B517AC" w:rsidRDefault="00206984" w:rsidP="00B4533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206984" w:rsidRDefault="002069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CDE0C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1FBC"/>
    <w:multiLevelType w:val="hybridMultilevel"/>
    <w:tmpl w:val="70061DBA"/>
    <w:lvl w:ilvl="0" w:tplc="854AFD2E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3E4035B"/>
    <w:multiLevelType w:val="hybridMultilevel"/>
    <w:tmpl w:val="C69A883E"/>
    <w:lvl w:ilvl="0" w:tplc="EDC40E86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BF1D85"/>
    <w:multiLevelType w:val="hybridMultilevel"/>
    <w:tmpl w:val="E6B415FE"/>
    <w:lvl w:ilvl="0" w:tplc="34F40452">
      <w:start w:val="1"/>
      <w:numFmt w:val="upperRoman"/>
      <w:lvlText w:val="%1 -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015D37"/>
    <w:multiLevelType w:val="hybridMultilevel"/>
    <w:tmpl w:val="AA0CF9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7684ED1"/>
    <w:multiLevelType w:val="hybridMultilevel"/>
    <w:tmpl w:val="12E2B1D6"/>
    <w:lvl w:ilvl="0" w:tplc="0B563BB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0099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7DF1404"/>
    <w:multiLevelType w:val="hybridMultilevel"/>
    <w:tmpl w:val="36B4089E"/>
    <w:lvl w:ilvl="0" w:tplc="B0D8BB2C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08E44239"/>
    <w:multiLevelType w:val="multilevel"/>
    <w:tmpl w:val="8798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 w15:restartNumberingAfterBreak="0">
    <w:nsid w:val="0D8F5B88"/>
    <w:multiLevelType w:val="hybridMultilevel"/>
    <w:tmpl w:val="04F0D3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E690F4F"/>
    <w:multiLevelType w:val="hybridMultilevel"/>
    <w:tmpl w:val="12580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F5C69"/>
    <w:multiLevelType w:val="hybridMultilevel"/>
    <w:tmpl w:val="2DDE0E28"/>
    <w:lvl w:ilvl="0" w:tplc="91366A02">
      <w:start w:val="1"/>
      <w:numFmt w:val="lowerRoman"/>
      <w:lvlText w:val="%1)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11ED600A"/>
    <w:multiLevelType w:val="hybridMultilevel"/>
    <w:tmpl w:val="D7FC880A"/>
    <w:lvl w:ilvl="0" w:tplc="4CCA45CE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2032BF1"/>
    <w:multiLevelType w:val="hybridMultilevel"/>
    <w:tmpl w:val="95A09F0A"/>
    <w:lvl w:ilvl="0" w:tplc="0652E7F8">
      <w:start w:val="1"/>
      <w:numFmt w:val="upp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2AB689B"/>
    <w:multiLevelType w:val="hybridMultilevel"/>
    <w:tmpl w:val="0708011E"/>
    <w:lvl w:ilvl="0" w:tplc="2ECA743A">
      <w:start w:val="1"/>
      <w:numFmt w:val="upperRoman"/>
      <w:lvlText w:val="%1-"/>
      <w:lvlJc w:val="left"/>
      <w:pPr>
        <w:ind w:left="717" w:hanging="360"/>
      </w:pPr>
      <w:rPr>
        <w:rFonts w:ascii="Times New Roman" w:eastAsia="Times New Roman" w:hAnsi="Times New Roman" w:cs="Times New Roman"/>
        <w:i w:val="0"/>
      </w:rPr>
    </w:lvl>
    <w:lvl w:ilvl="1" w:tplc="04160019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4" w15:restartNumberingAfterBreak="0">
    <w:nsid w:val="17F71E07"/>
    <w:multiLevelType w:val="hybridMultilevel"/>
    <w:tmpl w:val="356253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8413246"/>
    <w:multiLevelType w:val="hybridMultilevel"/>
    <w:tmpl w:val="160870B6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188E3BAF"/>
    <w:multiLevelType w:val="hybridMultilevel"/>
    <w:tmpl w:val="FEEC72EA"/>
    <w:lvl w:ilvl="0" w:tplc="0416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7" w15:restartNumberingAfterBreak="0">
    <w:nsid w:val="1F1F159E"/>
    <w:multiLevelType w:val="hybridMultilevel"/>
    <w:tmpl w:val="20A6EE00"/>
    <w:lvl w:ilvl="0" w:tplc="EDC40E86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14D3153"/>
    <w:multiLevelType w:val="hybridMultilevel"/>
    <w:tmpl w:val="4C3ADD6E"/>
    <w:lvl w:ilvl="0" w:tplc="EC340E42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 w15:restartNumberingAfterBreak="0">
    <w:nsid w:val="22944F7E"/>
    <w:multiLevelType w:val="hybridMultilevel"/>
    <w:tmpl w:val="1A0CBA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6F37526"/>
    <w:multiLevelType w:val="hybridMultilevel"/>
    <w:tmpl w:val="E408A226"/>
    <w:lvl w:ilvl="0" w:tplc="EDC40E86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8B97518"/>
    <w:multiLevelType w:val="hybridMultilevel"/>
    <w:tmpl w:val="228CA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8CD0033"/>
    <w:multiLevelType w:val="hybridMultilevel"/>
    <w:tmpl w:val="F7A07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9985B0C"/>
    <w:multiLevelType w:val="hybridMultilevel"/>
    <w:tmpl w:val="D6E0FFD2"/>
    <w:lvl w:ilvl="0" w:tplc="5108FE5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 w15:restartNumberingAfterBreak="0">
    <w:nsid w:val="2C4E5CB3"/>
    <w:multiLevelType w:val="hybridMultilevel"/>
    <w:tmpl w:val="EF30ADF2"/>
    <w:lvl w:ilvl="0" w:tplc="34F40452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F811C83"/>
    <w:multiLevelType w:val="hybridMultilevel"/>
    <w:tmpl w:val="74F8AB50"/>
    <w:lvl w:ilvl="0" w:tplc="CF86F68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2FE646B1"/>
    <w:multiLevelType w:val="hybridMultilevel"/>
    <w:tmpl w:val="F3301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30919C5"/>
    <w:multiLevelType w:val="hybridMultilevel"/>
    <w:tmpl w:val="538C75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4707B74"/>
    <w:multiLevelType w:val="hybridMultilevel"/>
    <w:tmpl w:val="4A8091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6801B10"/>
    <w:multiLevelType w:val="hybridMultilevel"/>
    <w:tmpl w:val="D7FC880A"/>
    <w:lvl w:ilvl="0" w:tplc="4CCA45CE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6EF382C"/>
    <w:multiLevelType w:val="multilevel"/>
    <w:tmpl w:val="8FCE494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cs="Times New Roman" w:hint="default"/>
      </w:rPr>
    </w:lvl>
  </w:abstractNum>
  <w:abstractNum w:abstractNumId="31" w15:restartNumberingAfterBreak="0">
    <w:nsid w:val="451F0BE5"/>
    <w:multiLevelType w:val="hybridMultilevel"/>
    <w:tmpl w:val="1F66E8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52C702F"/>
    <w:multiLevelType w:val="hybridMultilevel"/>
    <w:tmpl w:val="F1200A92"/>
    <w:lvl w:ilvl="0" w:tplc="EDC40E86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52F5891"/>
    <w:multiLevelType w:val="hybridMultilevel"/>
    <w:tmpl w:val="F1E8E60C"/>
    <w:lvl w:ilvl="0" w:tplc="EDC40E86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  <w:rPr>
        <w:rFonts w:cs="Times New Roman"/>
      </w:rPr>
    </w:lvl>
  </w:abstractNum>
  <w:abstractNum w:abstractNumId="34" w15:restartNumberingAfterBreak="0">
    <w:nsid w:val="4E4504E8"/>
    <w:multiLevelType w:val="hybridMultilevel"/>
    <w:tmpl w:val="DA3EF6C6"/>
    <w:lvl w:ilvl="0" w:tplc="34F40452">
      <w:start w:val="1"/>
      <w:numFmt w:val="upperRoman"/>
      <w:lvlText w:val="%1 -"/>
      <w:lvlJc w:val="left"/>
      <w:pPr>
        <w:ind w:left="1353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42B4DE3"/>
    <w:multiLevelType w:val="hybridMultilevel"/>
    <w:tmpl w:val="FC82BF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4D66A83"/>
    <w:multiLevelType w:val="hybridMultilevel"/>
    <w:tmpl w:val="CCB86CA8"/>
    <w:lvl w:ilvl="0" w:tplc="34F40452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6222D8E"/>
    <w:multiLevelType w:val="hybridMultilevel"/>
    <w:tmpl w:val="A9780216"/>
    <w:lvl w:ilvl="0" w:tplc="23CA456C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8" w15:restartNumberingAfterBreak="0">
    <w:nsid w:val="57227D21"/>
    <w:multiLevelType w:val="hybridMultilevel"/>
    <w:tmpl w:val="92EE2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B0D1C"/>
    <w:multiLevelType w:val="hybridMultilevel"/>
    <w:tmpl w:val="4FE202BC"/>
    <w:lvl w:ilvl="0" w:tplc="2D2C3C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1914DC1"/>
    <w:multiLevelType w:val="multilevel"/>
    <w:tmpl w:val="894EE883"/>
    <w:lvl w:ilvl="0">
      <w:start w:val="1"/>
      <w:numFmt w:val="decimal"/>
      <w:lvlText w:val="%1."/>
      <w:lvlJc w:val="left"/>
      <w:pPr>
        <w:tabs>
          <w:tab w:val="num" w:pos="393"/>
        </w:tabs>
        <w:ind w:left="393" w:firstLine="284"/>
      </w:pPr>
      <w:rPr>
        <w:rFonts w:cs="Times New Roman"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cs="Times New Roman"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cs="Times New Roman"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cs="Times New Roman"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cs="Times New Roman"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cs="Times New Roman"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cs="Times New Roman"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cs="Times New Roman"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cs="Times New Roman" w:hint="default"/>
        <w:position w:val="0"/>
      </w:rPr>
    </w:lvl>
  </w:abstractNum>
  <w:abstractNum w:abstractNumId="41" w15:restartNumberingAfterBreak="0">
    <w:nsid w:val="64281DA6"/>
    <w:multiLevelType w:val="hybridMultilevel"/>
    <w:tmpl w:val="C950BE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6DB1D32"/>
    <w:multiLevelType w:val="hybridMultilevel"/>
    <w:tmpl w:val="C080804C"/>
    <w:lvl w:ilvl="0" w:tplc="6B9803BC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Calibri" w:eastAsia="Times New Roman" w:hAnsi="Calibri"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6EC95D0D"/>
    <w:multiLevelType w:val="hybridMultilevel"/>
    <w:tmpl w:val="4B623DB6"/>
    <w:lvl w:ilvl="0" w:tplc="C6DA3624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4" w15:restartNumberingAfterBreak="0">
    <w:nsid w:val="71691DA7"/>
    <w:multiLevelType w:val="hybridMultilevel"/>
    <w:tmpl w:val="8D0EEB7C"/>
    <w:lvl w:ilvl="0" w:tplc="B47A5D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3AF41A0"/>
    <w:multiLevelType w:val="hybridMultilevel"/>
    <w:tmpl w:val="D0886698"/>
    <w:lvl w:ilvl="0" w:tplc="854AFD2E">
      <w:start w:val="1"/>
      <w:numFmt w:val="upperRoman"/>
      <w:lvlText w:val="%1 -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6" w15:restartNumberingAfterBreak="0">
    <w:nsid w:val="76707D56"/>
    <w:multiLevelType w:val="hybridMultilevel"/>
    <w:tmpl w:val="4F5AA59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7" w15:restartNumberingAfterBreak="0">
    <w:nsid w:val="783A187A"/>
    <w:multiLevelType w:val="hybridMultilevel"/>
    <w:tmpl w:val="1F66E8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B9E1E28"/>
    <w:multiLevelType w:val="hybridMultilevel"/>
    <w:tmpl w:val="D7FC880A"/>
    <w:lvl w:ilvl="0" w:tplc="4CCA45CE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8"/>
  </w:num>
  <w:num w:numId="3">
    <w:abstractNumId w:val="44"/>
  </w:num>
  <w:num w:numId="4">
    <w:abstractNumId w:val="38"/>
  </w:num>
  <w:num w:numId="5">
    <w:abstractNumId w:val="30"/>
  </w:num>
  <w:num w:numId="6">
    <w:abstractNumId w:val="1"/>
  </w:num>
  <w:num w:numId="7">
    <w:abstractNumId w:val="22"/>
  </w:num>
  <w:num w:numId="8">
    <w:abstractNumId w:val="37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6"/>
  </w:num>
  <w:num w:numId="12">
    <w:abstractNumId w:val="41"/>
  </w:num>
  <w:num w:numId="13">
    <w:abstractNumId w:val="21"/>
  </w:num>
  <w:num w:numId="14">
    <w:abstractNumId w:val="25"/>
  </w:num>
  <w:num w:numId="15">
    <w:abstractNumId w:val="28"/>
  </w:num>
  <w:num w:numId="16">
    <w:abstractNumId w:val="26"/>
  </w:num>
  <w:num w:numId="17">
    <w:abstractNumId w:val="27"/>
  </w:num>
  <w:num w:numId="18">
    <w:abstractNumId w:val="23"/>
  </w:num>
  <w:num w:numId="19">
    <w:abstractNumId w:val="45"/>
  </w:num>
  <w:num w:numId="20">
    <w:abstractNumId w:val="3"/>
  </w:num>
  <w:num w:numId="21">
    <w:abstractNumId w:val="8"/>
  </w:num>
  <w:num w:numId="22">
    <w:abstractNumId w:val="48"/>
  </w:num>
  <w:num w:numId="23">
    <w:abstractNumId w:val="29"/>
  </w:num>
  <w:num w:numId="24">
    <w:abstractNumId w:val="11"/>
  </w:num>
  <w:num w:numId="25">
    <w:abstractNumId w:val="31"/>
  </w:num>
  <w:num w:numId="26">
    <w:abstractNumId w:val="6"/>
  </w:num>
  <w:num w:numId="27">
    <w:abstractNumId w:val="4"/>
  </w:num>
  <w:num w:numId="28">
    <w:abstractNumId w:val="15"/>
  </w:num>
  <w:num w:numId="29">
    <w:abstractNumId w:val="43"/>
  </w:num>
  <w:num w:numId="30">
    <w:abstractNumId w:val="47"/>
  </w:num>
  <w:num w:numId="31">
    <w:abstractNumId w:val="19"/>
  </w:num>
  <w:num w:numId="32">
    <w:abstractNumId w:val="14"/>
  </w:num>
  <w:num w:numId="33">
    <w:abstractNumId w:val="35"/>
  </w:num>
  <w:num w:numId="34">
    <w:abstractNumId w:val="5"/>
  </w:num>
  <w:num w:numId="35">
    <w:abstractNumId w:val="0"/>
  </w:num>
  <w:num w:numId="36">
    <w:abstractNumId w:val="36"/>
  </w:num>
  <w:num w:numId="37">
    <w:abstractNumId w:val="34"/>
  </w:num>
  <w:num w:numId="38">
    <w:abstractNumId w:val="24"/>
  </w:num>
  <w:num w:numId="3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6"/>
  </w:num>
  <w:num w:numId="41">
    <w:abstractNumId w:val="39"/>
  </w:num>
  <w:num w:numId="42">
    <w:abstractNumId w:val="12"/>
  </w:num>
  <w:num w:numId="43">
    <w:abstractNumId w:val="13"/>
  </w:num>
  <w:num w:numId="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 w:numId="46">
    <w:abstractNumId w:val="20"/>
  </w:num>
  <w:num w:numId="47">
    <w:abstractNumId w:val="2"/>
  </w:num>
  <w:num w:numId="48">
    <w:abstractNumId w:val="17"/>
  </w:num>
  <w:num w:numId="49">
    <w:abstractNumId w:val="32"/>
  </w:num>
  <w:num w:numId="50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00A1F"/>
    <w:rsid w:val="000038BA"/>
    <w:rsid w:val="00011995"/>
    <w:rsid w:val="000120FA"/>
    <w:rsid w:val="00014A90"/>
    <w:rsid w:val="00014DDD"/>
    <w:rsid w:val="000163DD"/>
    <w:rsid w:val="000219B5"/>
    <w:rsid w:val="00021DC6"/>
    <w:rsid w:val="00025226"/>
    <w:rsid w:val="000256C6"/>
    <w:rsid w:val="000275F5"/>
    <w:rsid w:val="00030957"/>
    <w:rsid w:val="0003596D"/>
    <w:rsid w:val="000372F2"/>
    <w:rsid w:val="00042282"/>
    <w:rsid w:val="0004316B"/>
    <w:rsid w:val="00044C37"/>
    <w:rsid w:val="0004777B"/>
    <w:rsid w:val="00047B53"/>
    <w:rsid w:val="0005004D"/>
    <w:rsid w:val="00050A1F"/>
    <w:rsid w:val="0005177A"/>
    <w:rsid w:val="000526FC"/>
    <w:rsid w:val="00054903"/>
    <w:rsid w:val="000555F6"/>
    <w:rsid w:val="00055A0F"/>
    <w:rsid w:val="00056741"/>
    <w:rsid w:val="00056CD6"/>
    <w:rsid w:val="00060FE3"/>
    <w:rsid w:val="00061240"/>
    <w:rsid w:val="000620EF"/>
    <w:rsid w:val="000648BC"/>
    <w:rsid w:val="00064FC3"/>
    <w:rsid w:val="00067084"/>
    <w:rsid w:val="00067456"/>
    <w:rsid w:val="00067688"/>
    <w:rsid w:val="000715C4"/>
    <w:rsid w:val="00071954"/>
    <w:rsid w:val="00071C26"/>
    <w:rsid w:val="00072359"/>
    <w:rsid w:val="000739E3"/>
    <w:rsid w:val="00073FE8"/>
    <w:rsid w:val="00076C97"/>
    <w:rsid w:val="00076F4E"/>
    <w:rsid w:val="000775F3"/>
    <w:rsid w:val="00077D7B"/>
    <w:rsid w:val="00080B98"/>
    <w:rsid w:val="00081142"/>
    <w:rsid w:val="00082D9F"/>
    <w:rsid w:val="00084F7B"/>
    <w:rsid w:val="000918F4"/>
    <w:rsid w:val="00094991"/>
    <w:rsid w:val="0009583A"/>
    <w:rsid w:val="00095D10"/>
    <w:rsid w:val="00096030"/>
    <w:rsid w:val="00096240"/>
    <w:rsid w:val="00097569"/>
    <w:rsid w:val="000A110D"/>
    <w:rsid w:val="000A2C64"/>
    <w:rsid w:val="000A30FD"/>
    <w:rsid w:val="000A589C"/>
    <w:rsid w:val="000A63E9"/>
    <w:rsid w:val="000B350E"/>
    <w:rsid w:val="000B396B"/>
    <w:rsid w:val="000B4ED1"/>
    <w:rsid w:val="000B50D0"/>
    <w:rsid w:val="000B54CF"/>
    <w:rsid w:val="000C098F"/>
    <w:rsid w:val="000C0CA7"/>
    <w:rsid w:val="000C2F8E"/>
    <w:rsid w:val="000C460B"/>
    <w:rsid w:val="000C5D05"/>
    <w:rsid w:val="000C5FDB"/>
    <w:rsid w:val="000D0D5C"/>
    <w:rsid w:val="000D0FCF"/>
    <w:rsid w:val="000D2728"/>
    <w:rsid w:val="000D6895"/>
    <w:rsid w:val="000E06A1"/>
    <w:rsid w:val="000E2129"/>
    <w:rsid w:val="000E269E"/>
    <w:rsid w:val="000E28E0"/>
    <w:rsid w:val="000F017C"/>
    <w:rsid w:val="000F3FC9"/>
    <w:rsid w:val="000F5C41"/>
    <w:rsid w:val="000F7E9B"/>
    <w:rsid w:val="0010519D"/>
    <w:rsid w:val="00106EFA"/>
    <w:rsid w:val="00111894"/>
    <w:rsid w:val="00113A07"/>
    <w:rsid w:val="00114179"/>
    <w:rsid w:val="001141F4"/>
    <w:rsid w:val="00115E2A"/>
    <w:rsid w:val="00116DEB"/>
    <w:rsid w:val="00117A58"/>
    <w:rsid w:val="001201ED"/>
    <w:rsid w:val="00126696"/>
    <w:rsid w:val="00127148"/>
    <w:rsid w:val="00135153"/>
    <w:rsid w:val="00135D2E"/>
    <w:rsid w:val="0014132D"/>
    <w:rsid w:val="00143A01"/>
    <w:rsid w:val="001519B2"/>
    <w:rsid w:val="0015225C"/>
    <w:rsid w:val="001529D2"/>
    <w:rsid w:val="00155D37"/>
    <w:rsid w:val="00156A85"/>
    <w:rsid w:val="00160494"/>
    <w:rsid w:val="001609F8"/>
    <w:rsid w:val="00161F33"/>
    <w:rsid w:val="0016269A"/>
    <w:rsid w:val="001637F9"/>
    <w:rsid w:val="001645EB"/>
    <w:rsid w:val="00167673"/>
    <w:rsid w:val="0017457A"/>
    <w:rsid w:val="00174E3C"/>
    <w:rsid w:val="00177583"/>
    <w:rsid w:val="0017762A"/>
    <w:rsid w:val="001807CF"/>
    <w:rsid w:val="0018228E"/>
    <w:rsid w:val="001828E5"/>
    <w:rsid w:val="001845F1"/>
    <w:rsid w:val="0018605C"/>
    <w:rsid w:val="001909AA"/>
    <w:rsid w:val="001922AC"/>
    <w:rsid w:val="00194D5B"/>
    <w:rsid w:val="00196FC5"/>
    <w:rsid w:val="001A3E3F"/>
    <w:rsid w:val="001A43F5"/>
    <w:rsid w:val="001A44F0"/>
    <w:rsid w:val="001A7797"/>
    <w:rsid w:val="001A7993"/>
    <w:rsid w:val="001B037D"/>
    <w:rsid w:val="001B1C0E"/>
    <w:rsid w:val="001B1FA9"/>
    <w:rsid w:val="001B5C23"/>
    <w:rsid w:val="001C076B"/>
    <w:rsid w:val="001C0898"/>
    <w:rsid w:val="001C1949"/>
    <w:rsid w:val="001C21F4"/>
    <w:rsid w:val="001C506F"/>
    <w:rsid w:val="001C536D"/>
    <w:rsid w:val="001C5EFE"/>
    <w:rsid w:val="001D290D"/>
    <w:rsid w:val="001D343A"/>
    <w:rsid w:val="001D5B6B"/>
    <w:rsid w:val="001E15D4"/>
    <w:rsid w:val="001E2F7A"/>
    <w:rsid w:val="001E4FEA"/>
    <w:rsid w:val="001E59CC"/>
    <w:rsid w:val="001E6067"/>
    <w:rsid w:val="001E7714"/>
    <w:rsid w:val="001F17A9"/>
    <w:rsid w:val="001F1FD7"/>
    <w:rsid w:val="001F6275"/>
    <w:rsid w:val="001F71BE"/>
    <w:rsid w:val="002054A0"/>
    <w:rsid w:val="00205D15"/>
    <w:rsid w:val="00206984"/>
    <w:rsid w:val="00206B7B"/>
    <w:rsid w:val="0021054F"/>
    <w:rsid w:val="00214909"/>
    <w:rsid w:val="00216736"/>
    <w:rsid w:val="00216F9A"/>
    <w:rsid w:val="00217975"/>
    <w:rsid w:val="00220B7D"/>
    <w:rsid w:val="002310C7"/>
    <w:rsid w:val="0023185A"/>
    <w:rsid w:val="00231AF9"/>
    <w:rsid w:val="00232F8F"/>
    <w:rsid w:val="0023306A"/>
    <w:rsid w:val="00236150"/>
    <w:rsid w:val="0023764C"/>
    <w:rsid w:val="002400D3"/>
    <w:rsid w:val="00242CA0"/>
    <w:rsid w:val="00243C20"/>
    <w:rsid w:val="00245614"/>
    <w:rsid w:val="0025015A"/>
    <w:rsid w:val="002543D6"/>
    <w:rsid w:val="0025453A"/>
    <w:rsid w:val="00256A08"/>
    <w:rsid w:val="002578F7"/>
    <w:rsid w:val="002648B7"/>
    <w:rsid w:val="00265513"/>
    <w:rsid w:val="00265673"/>
    <w:rsid w:val="002670EE"/>
    <w:rsid w:val="002677CB"/>
    <w:rsid w:val="00270251"/>
    <w:rsid w:val="00270791"/>
    <w:rsid w:val="00271B65"/>
    <w:rsid w:val="00275F0E"/>
    <w:rsid w:val="00280989"/>
    <w:rsid w:val="00284E52"/>
    <w:rsid w:val="0028599D"/>
    <w:rsid w:val="00287ACD"/>
    <w:rsid w:val="00290762"/>
    <w:rsid w:val="002929A6"/>
    <w:rsid w:val="00295695"/>
    <w:rsid w:val="00295FE7"/>
    <w:rsid w:val="002A1148"/>
    <w:rsid w:val="002A13AC"/>
    <w:rsid w:val="002A1E4C"/>
    <w:rsid w:val="002A4764"/>
    <w:rsid w:val="002A7AA8"/>
    <w:rsid w:val="002B17F3"/>
    <w:rsid w:val="002B3B3D"/>
    <w:rsid w:val="002B491B"/>
    <w:rsid w:val="002B7129"/>
    <w:rsid w:val="002C0690"/>
    <w:rsid w:val="002C10E8"/>
    <w:rsid w:val="002C153B"/>
    <w:rsid w:val="002C2012"/>
    <w:rsid w:val="002C216B"/>
    <w:rsid w:val="002C2542"/>
    <w:rsid w:val="002C53D5"/>
    <w:rsid w:val="002C58DB"/>
    <w:rsid w:val="002C65BB"/>
    <w:rsid w:val="002C6B83"/>
    <w:rsid w:val="002D3398"/>
    <w:rsid w:val="002D4431"/>
    <w:rsid w:val="002D574D"/>
    <w:rsid w:val="002E18E7"/>
    <w:rsid w:val="002E224E"/>
    <w:rsid w:val="002E4B34"/>
    <w:rsid w:val="002F2697"/>
    <w:rsid w:val="002F34FA"/>
    <w:rsid w:val="002F5D01"/>
    <w:rsid w:val="002F77E5"/>
    <w:rsid w:val="00300763"/>
    <w:rsid w:val="00302D85"/>
    <w:rsid w:val="0030366B"/>
    <w:rsid w:val="0030447F"/>
    <w:rsid w:val="00305A46"/>
    <w:rsid w:val="003112FA"/>
    <w:rsid w:val="00314867"/>
    <w:rsid w:val="0031545C"/>
    <w:rsid w:val="00315986"/>
    <w:rsid w:val="00316E60"/>
    <w:rsid w:val="00320BFA"/>
    <w:rsid w:val="00323C3D"/>
    <w:rsid w:val="00326D17"/>
    <w:rsid w:val="003302CE"/>
    <w:rsid w:val="00333499"/>
    <w:rsid w:val="00333FAD"/>
    <w:rsid w:val="00335F99"/>
    <w:rsid w:val="00341FE5"/>
    <w:rsid w:val="003436D3"/>
    <w:rsid w:val="00343878"/>
    <w:rsid w:val="003444BE"/>
    <w:rsid w:val="00344C93"/>
    <w:rsid w:val="00345DDD"/>
    <w:rsid w:val="00350174"/>
    <w:rsid w:val="003530E9"/>
    <w:rsid w:val="00356DE9"/>
    <w:rsid w:val="003574A5"/>
    <w:rsid w:val="00363C9A"/>
    <w:rsid w:val="00366FD7"/>
    <w:rsid w:val="00367F6D"/>
    <w:rsid w:val="00370A8D"/>
    <w:rsid w:val="0037475F"/>
    <w:rsid w:val="0037764D"/>
    <w:rsid w:val="00385CBA"/>
    <w:rsid w:val="003971B2"/>
    <w:rsid w:val="003A1697"/>
    <w:rsid w:val="003A38CF"/>
    <w:rsid w:val="003A6837"/>
    <w:rsid w:val="003A71C6"/>
    <w:rsid w:val="003B7503"/>
    <w:rsid w:val="003C19BB"/>
    <w:rsid w:val="003C2520"/>
    <w:rsid w:val="003C5B79"/>
    <w:rsid w:val="003C6180"/>
    <w:rsid w:val="003C70B1"/>
    <w:rsid w:val="003D1155"/>
    <w:rsid w:val="003D5E26"/>
    <w:rsid w:val="003D65F0"/>
    <w:rsid w:val="003D70A6"/>
    <w:rsid w:val="003E17A8"/>
    <w:rsid w:val="003E4950"/>
    <w:rsid w:val="003E73DD"/>
    <w:rsid w:val="003F1A76"/>
    <w:rsid w:val="003F4D05"/>
    <w:rsid w:val="004032A7"/>
    <w:rsid w:val="0040538A"/>
    <w:rsid w:val="00407B45"/>
    <w:rsid w:val="00412CF0"/>
    <w:rsid w:val="00414F92"/>
    <w:rsid w:val="004158DB"/>
    <w:rsid w:val="0041771F"/>
    <w:rsid w:val="00420530"/>
    <w:rsid w:val="00420ACB"/>
    <w:rsid w:val="00424E70"/>
    <w:rsid w:val="00427075"/>
    <w:rsid w:val="00427335"/>
    <w:rsid w:val="00433F3D"/>
    <w:rsid w:val="004347CB"/>
    <w:rsid w:val="00436462"/>
    <w:rsid w:val="004405BF"/>
    <w:rsid w:val="00441688"/>
    <w:rsid w:val="00441A8F"/>
    <w:rsid w:val="0044260E"/>
    <w:rsid w:val="00443DDD"/>
    <w:rsid w:val="0044444B"/>
    <w:rsid w:val="00444A23"/>
    <w:rsid w:val="0044615A"/>
    <w:rsid w:val="00452F86"/>
    <w:rsid w:val="00453794"/>
    <w:rsid w:val="00457451"/>
    <w:rsid w:val="0045759F"/>
    <w:rsid w:val="00462A1A"/>
    <w:rsid w:val="00464185"/>
    <w:rsid w:val="00466346"/>
    <w:rsid w:val="00466C3C"/>
    <w:rsid w:val="004670EA"/>
    <w:rsid w:val="00472202"/>
    <w:rsid w:val="00473525"/>
    <w:rsid w:val="00473EE0"/>
    <w:rsid w:val="00482F71"/>
    <w:rsid w:val="00487CC5"/>
    <w:rsid w:val="00491A69"/>
    <w:rsid w:val="004922AA"/>
    <w:rsid w:val="00493DED"/>
    <w:rsid w:val="004943DE"/>
    <w:rsid w:val="00494594"/>
    <w:rsid w:val="00495A1B"/>
    <w:rsid w:val="00495CD1"/>
    <w:rsid w:val="00497E72"/>
    <w:rsid w:val="004A08B6"/>
    <w:rsid w:val="004A0CF7"/>
    <w:rsid w:val="004A2C20"/>
    <w:rsid w:val="004A3B14"/>
    <w:rsid w:val="004B0495"/>
    <w:rsid w:val="004B08BA"/>
    <w:rsid w:val="004B0A57"/>
    <w:rsid w:val="004B2488"/>
    <w:rsid w:val="004B24F1"/>
    <w:rsid w:val="004B3A31"/>
    <w:rsid w:val="004B3D35"/>
    <w:rsid w:val="004B4025"/>
    <w:rsid w:val="004B563E"/>
    <w:rsid w:val="004C0E82"/>
    <w:rsid w:val="004C11A9"/>
    <w:rsid w:val="004C3DDB"/>
    <w:rsid w:val="004C5455"/>
    <w:rsid w:val="004C708E"/>
    <w:rsid w:val="004C7A32"/>
    <w:rsid w:val="004D2D00"/>
    <w:rsid w:val="004D3059"/>
    <w:rsid w:val="004D33E7"/>
    <w:rsid w:val="004D3D8A"/>
    <w:rsid w:val="004D4F3B"/>
    <w:rsid w:val="004D5581"/>
    <w:rsid w:val="004D7BFD"/>
    <w:rsid w:val="004E167B"/>
    <w:rsid w:val="004E272E"/>
    <w:rsid w:val="004E46BD"/>
    <w:rsid w:val="004F0691"/>
    <w:rsid w:val="004F22CF"/>
    <w:rsid w:val="004F7369"/>
    <w:rsid w:val="00500A97"/>
    <w:rsid w:val="00501D4F"/>
    <w:rsid w:val="005037FE"/>
    <w:rsid w:val="0050391C"/>
    <w:rsid w:val="0050581A"/>
    <w:rsid w:val="0050695C"/>
    <w:rsid w:val="00506B00"/>
    <w:rsid w:val="00514ED0"/>
    <w:rsid w:val="00515C69"/>
    <w:rsid w:val="005164C8"/>
    <w:rsid w:val="00517196"/>
    <w:rsid w:val="0051725C"/>
    <w:rsid w:val="005175E4"/>
    <w:rsid w:val="005232D0"/>
    <w:rsid w:val="00523F89"/>
    <w:rsid w:val="00525B41"/>
    <w:rsid w:val="00525D14"/>
    <w:rsid w:val="00527733"/>
    <w:rsid w:val="00530995"/>
    <w:rsid w:val="00530BBD"/>
    <w:rsid w:val="005316E4"/>
    <w:rsid w:val="00531952"/>
    <w:rsid w:val="00532AC8"/>
    <w:rsid w:val="00543012"/>
    <w:rsid w:val="00543341"/>
    <w:rsid w:val="0054357A"/>
    <w:rsid w:val="00543732"/>
    <w:rsid w:val="005448B2"/>
    <w:rsid w:val="00545BE6"/>
    <w:rsid w:val="005463B8"/>
    <w:rsid w:val="005463D0"/>
    <w:rsid w:val="00551864"/>
    <w:rsid w:val="00552E49"/>
    <w:rsid w:val="00554D53"/>
    <w:rsid w:val="00561E97"/>
    <w:rsid w:val="00562568"/>
    <w:rsid w:val="00562DE5"/>
    <w:rsid w:val="00564357"/>
    <w:rsid w:val="0056455E"/>
    <w:rsid w:val="005659D3"/>
    <w:rsid w:val="00566AAD"/>
    <w:rsid w:val="00572CBF"/>
    <w:rsid w:val="0057338E"/>
    <w:rsid w:val="0057548A"/>
    <w:rsid w:val="00575BA1"/>
    <w:rsid w:val="00577286"/>
    <w:rsid w:val="00580BC6"/>
    <w:rsid w:val="00581351"/>
    <w:rsid w:val="00581C49"/>
    <w:rsid w:val="00584422"/>
    <w:rsid w:val="005867FB"/>
    <w:rsid w:val="00590ADB"/>
    <w:rsid w:val="00592077"/>
    <w:rsid w:val="00594A0D"/>
    <w:rsid w:val="00595EB0"/>
    <w:rsid w:val="005976A2"/>
    <w:rsid w:val="005A2350"/>
    <w:rsid w:val="005A2AB1"/>
    <w:rsid w:val="005A35AE"/>
    <w:rsid w:val="005A54EA"/>
    <w:rsid w:val="005A6CBC"/>
    <w:rsid w:val="005A73E1"/>
    <w:rsid w:val="005B4BC4"/>
    <w:rsid w:val="005B7269"/>
    <w:rsid w:val="005B774C"/>
    <w:rsid w:val="005C38CF"/>
    <w:rsid w:val="005C4523"/>
    <w:rsid w:val="005C455C"/>
    <w:rsid w:val="005C540E"/>
    <w:rsid w:val="005D1700"/>
    <w:rsid w:val="005D4362"/>
    <w:rsid w:val="005D442C"/>
    <w:rsid w:val="005D4B58"/>
    <w:rsid w:val="005D561F"/>
    <w:rsid w:val="005D58EE"/>
    <w:rsid w:val="005D5C1C"/>
    <w:rsid w:val="005E0553"/>
    <w:rsid w:val="005E4C30"/>
    <w:rsid w:val="005E6ADE"/>
    <w:rsid w:val="005E78AF"/>
    <w:rsid w:val="005E7C80"/>
    <w:rsid w:val="005F0CAC"/>
    <w:rsid w:val="005F5E3A"/>
    <w:rsid w:val="005F614F"/>
    <w:rsid w:val="0060058D"/>
    <w:rsid w:val="00603B6E"/>
    <w:rsid w:val="00605859"/>
    <w:rsid w:val="0061173A"/>
    <w:rsid w:val="006127CF"/>
    <w:rsid w:val="00612B97"/>
    <w:rsid w:val="006131E8"/>
    <w:rsid w:val="00616012"/>
    <w:rsid w:val="00620684"/>
    <w:rsid w:val="0062191B"/>
    <w:rsid w:val="00621B44"/>
    <w:rsid w:val="00625985"/>
    <w:rsid w:val="00634079"/>
    <w:rsid w:val="0063533B"/>
    <w:rsid w:val="00637869"/>
    <w:rsid w:val="00640B15"/>
    <w:rsid w:val="00640DEE"/>
    <w:rsid w:val="0064408A"/>
    <w:rsid w:val="00645144"/>
    <w:rsid w:val="00646572"/>
    <w:rsid w:val="0065011D"/>
    <w:rsid w:val="00653DC1"/>
    <w:rsid w:val="0065580E"/>
    <w:rsid w:val="006571CA"/>
    <w:rsid w:val="006636EF"/>
    <w:rsid w:val="00665719"/>
    <w:rsid w:val="00665B3C"/>
    <w:rsid w:val="00665D89"/>
    <w:rsid w:val="00674909"/>
    <w:rsid w:val="00677C88"/>
    <w:rsid w:val="00677F06"/>
    <w:rsid w:val="00680964"/>
    <w:rsid w:val="00682EEF"/>
    <w:rsid w:val="006832EA"/>
    <w:rsid w:val="006833EB"/>
    <w:rsid w:val="00686FF4"/>
    <w:rsid w:val="00687F3F"/>
    <w:rsid w:val="006918D0"/>
    <w:rsid w:val="00691ADF"/>
    <w:rsid w:val="00693A9A"/>
    <w:rsid w:val="0069483D"/>
    <w:rsid w:val="00697F04"/>
    <w:rsid w:val="006A0F3D"/>
    <w:rsid w:val="006A7F62"/>
    <w:rsid w:val="006B3182"/>
    <w:rsid w:val="006B3CB9"/>
    <w:rsid w:val="006C0393"/>
    <w:rsid w:val="006C4478"/>
    <w:rsid w:val="006C540D"/>
    <w:rsid w:val="006C5BF6"/>
    <w:rsid w:val="006C756D"/>
    <w:rsid w:val="006D00D6"/>
    <w:rsid w:val="006D1941"/>
    <w:rsid w:val="006D2B59"/>
    <w:rsid w:val="006E1180"/>
    <w:rsid w:val="006E418C"/>
    <w:rsid w:val="006E4847"/>
    <w:rsid w:val="006E54FC"/>
    <w:rsid w:val="006E7641"/>
    <w:rsid w:val="006F1A64"/>
    <w:rsid w:val="006F25CF"/>
    <w:rsid w:val="006F4D60"/>
    <w:rsid w:val="006F599D"/>
    <w:rsid w:val="006F72F4"/>
    <w:rsid w:val="007008FC"/>
    <w:rsid w:val="0070158F"/>
    <w:rsid w:val="00701AA8"/>
    <w:rsid w:val="00713EAD"/>
    <w:rsid w:val="00714A2A"/>
    <w:rsid w:val="00721A37"/>
    <w:rsid w:val="007241AC"/>
    <w:rsid w:val="00730070"/>
    <w:rsid w:val="00730532"/>
    <w:rsid w:val="00730F05"/>
    <w:rsid w:val="007310CC"/>
    <w:rsid w:val="0073426D"/>
    <w:rsid w:val="00736215"/>
    <w:rsid w:val="007405B6"/>
    <w:rsid w:val="00742E02"/>
    <w:rsid w:val="00743458"/>
    <w:rsid w:val="007436A1"/>
    <w:rsid w:val="00743A12"/>
    <w:rsid w:val="007450B9"/>
    <w:rsid w:val="00745742"/>
    <w:rsid w:val="00746ADB"/>
    <w:rsid w:val="007511B3"/>
    <w:rsid w:val="00753D6B"/>
    <w:rsid w:val="00755D2E"/>
    <w:rsid w:val="00760F59"/>
    <w:rsid w:val="00760F7E"/>
    <w:rsid w:val="00761C0D"/>
    <w:rsid w:val="007628D1"/>
    <w:rsid w:val="00764866"/>
    <w:rsid w:val="00764C2E"/>
    <w:rsid w:val="00766277"/>
    <w:rsid w:val="00770157"/>
    <w:rsid w:val="00770302"/>
    <w:rsid w:val="00771E63"/>
    <w:rsid w:val="00772959"/>
    <w:rsid w:val="0077432D"/>
    <w:rsid w:val="00774EF5"/>
    <w:rsid w:val="00775A15"/>
    <w:rsid w:val="00776FE6"/>
    <w:rsid w:val="0078163C"/>
    <w:rsid w:val="007826C5"/>
    <w:rsid w:val="00782DD6"/>
    <w:rsid w:val="00785263"/>
    <w:rsid w:val="007903AB"/>
    <w:rsid w:val="00790F54"/>
    <w:rsid w:val="00793679"/>
    <w:rsid w:val="007955FB"/>
    <w:rsid w:val="00795B99"/>
    <w:rsid w:val="0079728E"/>
    <w:rsid w:val="007979AF"/>
    <w:rsid w:val="007A1A26"/>
    <w:rsid w:val="007A447E"/>
    <w:rsid w:val="007A46F9"/>
    <w:rsid w:val="007A6CA5"/>
    <w:rsid w:val="007A6D2A"/>
    <w:rsid w:val="007A703A"/>
    <w:rsid w:val="007A72AC"/>
    <w:rsid w:val="007A760B"/>
    <w:rsid w:val="007B3BFC"/>
    <w:rsid w:val="007B57AB"/>
    <w:rsid w:val="007C0D1B"/>
    <w:rsid w:val="007D135A"/>
    <w:rsid w:val="007D3AB1"/>
    <w:rsid w:val="007E0058"/>
    <w:rsid w:val="007E087D"/>
    <w:rsid w:val="007E2ED4"/>
    <w:rsid w:val="007F0BD6"/>
    <w:rsid w:val="007F1841"/>
    <w:rsid w:val="007F3EE8"/>
    <w:rsid w:val="007F5E50"/>
    <w:rsid w:val="007F6B7F"/>
    <w:rsid w:val="007F75CA"/>
    <w:rsid w:val="00802114"/>
    <w:rsid w:val="008030FA"/>
    <w:rsid w:val="008048AD"/>
    <w:rsid w:val="00804CE8"/>
    <w:rsid w:val="008063D7"/>
    <w:rsid w:val="0080659F"/>
    <w:rsid w:val="00807637"/>
    <w:rsid w:val="0081185B"/>
    <w:rsid w:val="00814430"/>
    <w:rsid w:val="00814B32"/>
    <w:rsid w:val="00825641"/>
    <w:rsid w:val="00830F74"/>
    <w:rsid w:val="0083118E"/>
    <w:rsid w:val="0083331B"/>
    <w:rsid w:val="00836CE1"/>
    <w:rsid w:val="00837052"/>
    <w:rsid w:val="00837641"/>
    <w:rsid w:val="008414CC"/>
    <w:rsid w:val="008422CD"/>
    <w:rsid w:val="00843FDB"/>
    <w:rsid w:val="00847318"/>
    <w:rsid w:val="00852BD6"/>
    <w:rsid w:val="00853C02"/>
    <w:rsid w:val="00855935"/>
    <w:rsid w:val="008615D0"/>
    <w:rsid w:val="00863675"/>
    <w:rsid w:val="008718A7"/>
    <w:rsid w:val="00874928"/>
    <w:rsid w:val="00875E95"/>
    <w:rsid w:val="008760AB"/>
    <w:rsid w:val="00876761"/>
    <w:rsid w:val="00882526"/>
    <w:rsid w:val="00884B8B"/>
    <w:rsid w:val="00894948"/>
    <w:rsid w:val="00895BD9"/>
    <w:rsid w:val="00895D50"/>
    <w:rsid w:val="008968BA"/>
    <w:rsid w:val="008A7945"/>
    <w:rsid w:val="008B043B"/>
    <w:rsid w:val="008B0776"/>
    <w:rsid w:val="008B58A9"/>
    <w:rsid w:val="008B6E91"/>
    <w:rsid w:val="008C141C"/>
    <w:rsid w:val="008C55D1"/>
    <w:rsid w:val="008D08D6"/>
    <w:rsid w:val="008D0F57"/>
    <w:rsid w:val="008D272B"/>
    <w:rsid w:val="008D4436"/>
    <w:rsid w:val="008E1CB0"/>
    <w:rsid w:val="008E405F"/>
    <w:rsid w:val="008E5AB9"/>
    <w:rsid w:val="008E5AE2"/>
    <w:rsid w:val="008E7557"/>
    <w:rsid w:val="008F193E"/>
    <w:rsid w:val="008F3703"/>
    <w:rsid w:val="008F4279"/>
    <w:rsid w:val="008F6329"/>
    <w:rsid w:val="00901D5F"/>
    <w:rsid w:val="00905098"/>
    <w:rsid w:val="009211BE"/>
    <w:rsid w:val="00921670"/>
    <w:rsid w:val="009220CB"/>
    <w:rsid w:val="009239E2"/>
    <w:rsid w:val="00926607"/>
    <w:rsid w:val="00927FFE"/>
    <w:rsid w:val="009302BA"/>
    <w:rsid w:val="00931CA0"/>
    <w:rsid w:val="00935286"/>
    <w:rsid w:val="009369DE"/>
    <w:rsid w:val="00941225"/>
    <w:rsid w:val="0094259A"/>
    <w:rsid w:val="00950834"/>
    <w:rsid w:val="009519E0"/>
    <w:rsid w:val="00952E2B"/>
    <w:rsid w:val="00957F14"/>
    <w:rsid w:val="00961BE7"/>
    <w:rsid w:val="00962015"/>
    <w:rsid w:val="0096351B"/>
    <w:rsid w:val="009658E5"/>
    <w:rsid w:val="00966269"/>
    <w:rsid w:val="00966FCB"/>
    <w:rsid w:val="009678B1"/>
    <w:rsid w:val="009725DD"/>
    <w:rsid w:val="009740C7"/>
    <w:rsid w:val="00976B5A"/>
    <w:rsid w:val="009801B9"/>
    <w:rsid w:val="009821F1"/>
    <w:rsid w:val="0098250D"/>
    <w:rsid w:val="00983947"/>
    <w:rsid w:val="00984815"/>
    <w:rsid w:val="00987D61"/>
    <w:rsid w:val="00990482"/>
    <w:rsid w:val="00995C79"/>
    <w:rsid w:val="00995CDF"/>
    <w:rsid w:val="0099633F"/>
    <w:rsid w:val="009A22CD"/>
    <w:rsid w:val="009A280A"/>
    <w:rsid w:val="009A3CA1"/>
    <w:rsid w:val="009A3E03"/>
    <w:rsid w:val="009A4C1C"/>
    <w:rsid w:val="009A5146"/>
    <w:rsid w:val="009A6CED"/>
    <w:rsid w:val="009B2AFA"/>
    <w:rsid w:val="009B301F"/>
    <w:rsid w:val="009B5ABC"/>
    <w:rsid w:val="009C4C64"/>
    <w:rsid w:val="009C6327"/>
    <w:rsid w:val="009C73EF"/>
    <w:rsid w:val="009C7951"/>
    <w:rsid w:val="009D08D1"/>
    <w:rsid w:val="009D1F42"/>
    <w:rsid w:val="009D23C5"/>
    <w:rsid w:val="009E08A6"/>
    <w:rsid w:val="009E0BD0"/>
    <w:rsid w:val="009E1C1E"/>
    <w:rsid w:val="009E2A19"/>
    <w:rsid w:val="009F2BDD"/>
    <w:rsid w:val="009F3506"/>
    <w:rsid w:val="009F388D"/>
    <w:rsid w:val="00A013B1"/>
    <w:rsid w:val="00A0278F"/>
    <w:rsid w:val="00A049B3"/>
    <w:rsid w:val="00A06858"/>
    <w:rsid w:val="00A07469"/>
    <w:rsid w:val="00A12677"/>
    <w:rsid w:val="00A139BB"/>
    <w:rsid w:val="00A14F0A"/>
    <w:rsid w:val="00A158C8"/>
    <w:rsid w:val="00A27EF3"/>
    <w:rsid w:val="00A30D95"/>
    <w:rsid w:val="00A335C6"/>
    <w:rsid w:val="00A35134"/>
    <w:rsid w:val="00A36E71"/>
    <w:rsid w:val="00A41A66"/>
    <w:rsid w:val="00A446C9"/>
    <w:rsid w:val="00A44895"/>
    <w:rsid w:val="00A44A32"/>
    <w:rsid w:val="00A4671F"/>
    <w:rsid w:val="00A502BC"/>
    <w:rsid w:val="00A505BE"/>
    <w:rsid w:val="00A52739"/>
    <w:rsid w:val="00A55202"/>
    <w:rsid w:val="00A55360"/>
    <w:rsid w:val="00A57814"/>
    <w:rsid w:val="00A57F0A"/>
    <w:rsid w:val="00A60745"/>
    <w:rsid w:val="00A60F52"/>
    <w:rsid w:val="00A63BD6"/>
    <w:rsid w:val="00A65232"/>
    <w:rsid w:val="00A709C5"/>
    <w:rsid w:val="00A73C30"/>
    <w:rsid w:val="00A7471B"/>
    <w:rsid w:val="00A80D6F"/>
    <w:rsid w:val="00A81612"/>
    <w:rsid w:val="00A86335"/>
    <w:rsid w:val="00A86FE0"/>
    <w:rsid w:val="00A90866"/>
    <w:rsid w:val="00A90D6D"/>
    <w:rsid w:val="00A9110F"/>
    <w:rsid w:val="00A91E7B"/>
    <w:rsid w:val="00A954BA"/>
    <w:rsid w:val="00AA2693"/>
    <w:rsid w:val="00AA2EB8"/>
    <w:rsid w:val="00AA30D5"/>
    <w:rsid w:val="00AA3573"/>
    <w:rsid w:val="00AA483E"/>
    <w:rsid w:val="00AA566C"/>
    <w:rsid w:val="00AB214C"/>
    <w:rsid w:val="00AB48E9"/>
    <w:rsid w:val="00AB51A4"/>
    <w:rsid w:val="00AB5D82"/>
    <w:rsid w:val="00AC208D"/>
    <w:rsid w:val="00AC29E9"/>
    <w:rsid w:val="00AC2E43"/>
    <w:rsid w:val="00AC4C53"/>
    <w:rsid w:val="00AC55D1"/>
    <w:rsid w:val="00AC5FEB"/>
    <w:rsid w:val="00AD01CA"/>
    <w:rsid w:val="00AD15DC"/>
    <w:rsid w:val="00AD3381"/>
    <w:rsid w:val="00AD44CF"/>
    <w:rsid w:val="00AD52AA"/>
    <w:rsid w:val="00AE0316"/>
    <w:rsid w:val="00AE1AD2"/>
    <w:rsid w:val="00AE3557"/>
    <w:rsid w:val="00AE3ADE"/>
    <w:rsid w:val="00AE503C"/>
    <w:rsid w:val="00AE7095"/>
    <w:rsid w:val="00AE7400"/>
    <w:rsid w:val="00AE7519"/>
    <w:rsid w:val="00AE7BE9"/>
    <w:rsid w:val="00AF0375"/>
    <w:rsid w:val="00AF08F8"/>
    <w:rsid w:val="00AF3566"/>
    <w:rsid w:val="00AF635E"/>
    <w:rsid w:val="00B0061D"/>
    <w:rsid w:val="00B00901"/>
    <w:rsid w:val="00B04DDD"/>
    <w:rsid w:val="00B06169"/>
    <w:rsid w:val="00B072E6"/>
    <w:rsid w:val="00B113BB"/>
    <w:rsid w:val="00B1403F"/>
    <w:rsid w:val="00B14134"/>
    <w:rsid w:val="00B20729"/>
    <w:rsid w:val="00B21CFE"/>
    <w:rsid w:val="00B256AD"/>
    <w:rsid w:val="00B27C06"/>
    <w:rsid w:val="00B3247E"/>
    <w:rsid w:val="00B33E84"/>
    <w:rsid w:val="00B36C75"/>
    <w:rsid w:val="00B41B8F"/>
    <w:rsid w:val="00B434C4"/>
    <w:rsid w:val="00B43660"/>
    <w:rsid w:val="00B4533B"/>
    <w:rsid w:val="00B45A06"/>
    <w:rsid w:val="00B5125E"/>
    <w:rsid w:val="00B51477"/>
    <w:rsid w:val="00B517AC"/>
    <w:rsid w:val="00B53F50"/>
    <w:rsid w:val="00B546F9"/>
    <w:rsid w:val="00B54BD5"/>
    <w:rsid w:val="00B54DCC"/>
    <w:rsid w:val="00B5732A"/>
    <w:rsid w:val="00B65217"/>
    <w:rsid w:val="00B65768"/>
    <w:rsid w:val="00B66696"/>
    <w:rsid w:val="00B67218"/>
    <w:rsid w:val="00B67C61"/>
    <w:rsid w:val="00B702BB"/>
    <w:rsid w:val="00B705D4"/>
    <w:rsid w:val="00B70E5A"/>
    <w:rsid w:val="00B7587B"/>
    <w:rsid w:val="00B777B5"/>
    <w:rsid w:val="00B77E25"/>
    <w:rsid w:val="00B80304"/>
    <w:rsid w:val="00B90780"/>
    <w:rsid w:val="00B917A8"/>
    <w:rsid w:val="00B9228B"/>
    <w:rsid w:val="00B930AA"/>
    <w:rsid w:val="00B954EC"/>
    <w:rsid w:val="00B95E0C"/>
    <w:rsid w:val="00B975B1"/>
    <w:rsid w:val="00BA00A7"/>
    <w:rsid w:val="00BA0493"/>
    <w:rsid w:val="00BA0969"/>
    <w:rsid w:val="00BA331D"/>
    <w:rsid w:val="00BA3733"/>
    <w:rsid w:val="00BA5FC5"/>
    <w:rsid w:val="00BA6414"/>
    <w:rsid w:val="00BB17AE"/>
    <w:rsid w:val="00BB2ED1"/>
    <w:rsid w:val="00BB6425"/>
    <w:rsid w:val="00BB6469"/>
    <w:rsid w:val="00BB6732"/>
    <w:rsid w:val="00BC046D"/>
    <w:rsid w:val="00BC067C"/>
    <w:rsid w:val="00BC1E28"/>
    <w:rsid w:val="00BC545B"/>
    <w:rsid w:val="00BD00AD"/>
    <w:rsid w:val="00BD339A"/>
    <w:rsid w:val="00BD4B25"/>
    <w:rsid w:val="00BD6B46"/>
    <w:rsid w:val="00BE0680"/>
    <w:rsid w:val="00BE298A"/>
    <w:rsid w:val="00BE4D6C"/>
    <w:rsid w:val="00BE56F3"/>
    <w:rsid w:val="00BE7687"/>
    <w:rsid w:val="00BF0B1A"/>
    <w:rsid w:val="00BF107F"/>
    <w:rsid w:val="00BF2C52"/>
    <w:rsid w:val="00C00339"/>
    <w:rsid w:val="00C03AB0"/>
    <w:rsid w:val="00C05FB1"/>
    <w:rsid w:val="00C065B1"/>
    <w:rsid w:val="00C111A5"/>
    <w:rsid w:val="00C11352"/>
    <w:rsid w:val="00C13C89"/>
    <w:rsid w:val="00C14F3E"/>
    <w:rsid w:val="00C16AAC"/>
    <w:rsid w:val="00C212A4"/>
    <w:rsid w:val="00C24770"/>
    <w:rsid w:val="00C24D7A"/>
    <w:rsid w:val="00C27CDC"/>
    <w:rsid w:val="00C3326A"/>
    <w:rsid w:val="00C34EAB"/>
    <w:rsid w:val="00C35D31"/>
    <w:rsid w:val="00C37EF6"/>
    <w:rsid w:val="00C404E8"/>
    <w:rsid w:val="00C422AB"/>
    <w:rsid w:val="00C42B60"/>
    <w:rsid w:val="00C43B85"/>
    <w:rsid w:val="00C4487F"/>
    <w:rsid w:val="00C475E9"/>
    <w:rsid w:val="00C5511B"/>
    <w:rsid w:val="00C60EF3"/>
    <w:rsid w:val="00C616A6"/>
    <w:rsid w:val="00C61EE4"/>
    <w:rsid w:val="00C62296"/>
    <w:rsid w:val="00C6360D"/>
    <w:rsid w:val="00C65309"/>
    <w:rsid w:val="00C655EF"/>
    <w:rsid w:val="00C65B90"/>
    <w:rsid w:val="00C704DD"/>
    <w:rsid w:val="00C70B3C"/>
    <w:rsid w:val="00C81CCD"/>
    <w:rsid w:val="00C84983"/>
    <w:rsid w:val="00C8732C"/>
    <w:rsid w:val="00C87BCB"/>
    <w:rsid w:val="00C90CE8"/>
    <w:rsid w:val="00C91CC1"/>
    <w:rsid w:val="00C922B4"/>
    <w:rsid w:val="00C94834"/>
    <w:rsid w:val="00C96BB3"/>
    <w:rsid w:val="00CA176E"/>
    <w:rsid w:val="00CA2B2C"/>
    <w:rsid w:val="00CA406B"/>
    <w:rsid w:val="00CA5CF6"/>
    <w:rsid w:val="00CA621F"/>
    <w:rsid w:val="00CA7520"/>
    <w:rsid w:val="00CB407A"/>
    <w:rsid w:val="00CB4DFF"/>
    <w:rsid w:val="00CB53DE"/>
    <w:rsid w:val="00CB7E6E"/>
    <w:rsid w:val="00CC0872"/>
    <w:rsid w:val="00CC1B43"/>
    <w:rsid w:val="00CC691D"/>
    <w:rsid w:val="00CC7869"/>
    <w:rsid w:val="00CD253C"/>
    <w:rsid w:val="00CD2CEA"/>
    <w:rsid w:val="00CD444F"/>
    <w:rsid w:val="00CD4472"/>
    <w:rsid w:val="00CD54C8"/>
    <w:rsid w:val="00CD5D3B"/>
    <w:rsid w:val="00CE10EB"/>
    <w:rsid w:val="00CE15AB"/>
    <w:rsid w:val="00CE1F3F"/>
    <w:rsid w:val="00CE3DC7"/>
    <w:rsid w:val="00CE445E"/>
    <w:rsid w:val="00CF251C"/>
    <w:rsid w:val="00CF3A73"/>
    <w:rsid w:val="00CF3D98"/>
    <w:rsid w:val="00CF5F5A"/>
    <w:rsid w:val="00CF7206"/>
    <w:rsid w:val="00D004DA"/>
    <w:rsid w:val="00D07342"/>
    <w:rsid w:val="00D07C0B"/>
    <w:rsid w:val="00D07C2C"/>
    <w:rsid w:val="00D11D11"/>
    <w:rsid w:val="00D12772"/>
    <w:rsid w:val="00D127D6"/>
    <w:rsid w:val="00D13002"/>
    <w:rsid w:val="00D13FB4"/>
    <w:rsid w:val="00D16B36"/>
    <w:rsid w:val="00D17AD3"/>
    <w:rsid w:val="00D212F5"/>
    <w:rsid w:val="00D22527"/>
    <w:rsid w:val="00D27EFA"/>
    <w:rsid w:val="00D330F9"/>
    <w:rsid w:val="00D33B21"/>
    <w:rsid w:val="00D35583"/>
    <w:rsid w:val="00D35F5D"/>
    <w:rsid w:val="00D3626C"/>
    <w:rsid w:val="00D40326"/>
    <w:rsid w:val="00D40E9A"/>
    <w:rsid w:val="00D41656"/>
    <w:rsid w:val="00D4191B"/>
    <w:rsid w:val="00D442F6"/>
    <w:rsid w:val="00D46420"/>
    <w:rsid w:val="00D475BB"/>
    <w:rsid w:val="00D520BF"/>
    <w:rsid w:val="00D53FFC"/>
    <w:rsid w:val="00D558B2"/>
    <w:rsid w:val="00D57FC3"/>
    <w:rsid w:val="00D617AB"/>
    <w:rsid w:val="00D675DD"/>
    <w:rsid w:val="00D67613"/>
    <w:rsid w:val="00D71517"/>
    <w:rsid w:val="00D71A85"/>
    <w:rsid w:val="00D75FB1"/>
    <w:rsid w:val="00D773E9"/>
    <w:rsid w:val="00D77AB4"/>
    <w:rsid w:val="00D80428"/>
    <w:rsid w:val="00D8115A"/>
    <w:rsid w:val="00D812AB"/>
    <w:rsid w:val="00D841EA"/>
    <w:rsid w:val="00D9016F"/>
    <w:rsid w:val="00D92765"/>
    <w:rsid w:val="00D953D0"/>
    <w:rsid w:val="00D96A59"/>
    <w:rsid w:val="00D96BB0"/>
    <w:rsid w:val="00DA229F"/>
    <w:rsid w:val="00DA5DDC"/>
    <w:rsid w:val="00DA6491"/>
    <w:rsid w:val="00DA678A"/>
    <w:rsid w:val="00DB2A1F"/>
    <w:rsid w:val="00DB2A2C"/>
    <w:rsid w:val="00DB731E"/>
    <w:rsid w:val="00DB7DE2"/>
    <w:rsid w:val="00DC0FB6"/>
    <w:rsid w:val="00DC17C5"/>
    <w:rsid w:val="00DC2FEB"/>
    <w:rsid w:val="00DC3274"/>
    <w:rsid w:val="00DC4B47"/>
    <w:rsid w:val="00DC4DE7"/>
    <w:rsid w:val="00DD0C1B"/>
    <w:rsid w:val="00DD297C"/>
    <w:rsid w:val="00DD3DFB"/>
    <w:rsid w:val="00DD519D"/>
    <w:rsid w:val="00DE06BD"/>
    <w:rsid w:val="00DE0B63"/>
    <w:rsid w:val="00DE411E"/>
    <w:rsid w:val="00DE6D6F"/>
    <w:rsid w:val="00DE74FE"/>
    <w:rsid w:val="00DE7877"/>
    <w:rsid w:val="00DF034B"/>
    <w:rsid w:val="00DF4FD9"/>
    <w:rsid w:val="00DF6C4C"/>
    <w:rsid w:val="00E0035A"/>
    <w:rsid w:val="00E07569"/>
    <w:rsid w:val="00E12092"/>
    <w:rsid w:val="00E24AD0"/>
    <w:rsid w:val="00E25AFC"/>
    <w:rsid w:val="00E25D4F"/>
    <w:rsid w:val="00E279DB"/>
    <w:rsid w:val="00E31331"/>
    <w:rsid w:val="00E32E92"/>
    <w:rsid w:val="00E33E8B"/>
    <w:rsid w:val="00E34E3E"/>
    <w:rsid w:val="00E40879"/>
    <w:rsid w:val="00E41017"/>
    <w:rsid w:val="00E42701"/>
    <w:rsid w:val="00E43EA4"/>
    <w:rsid w:val="00E45610"/>
    <w:rsid w:val="00E45E2B"/>
    <w:rsid w:val="00E45F4E"/>
    <w:rsid w:val="00E45FEF"/>
    <w:rsid w:val="00E46F26"/>
    <w:rsid w:val="00E519C6"/>
    <w:rsid w:val="00E520B8"/>
    <w:rsid w:val="00E54B7C"/>
    <w:rsid w:val="00E616E8"/>
    <w:rsid w:val="00E623F5"/>
    <w:rsid w:val="00E644FD"/>
    <w:rsid w:val="00E651E6"/>
    <w:rsid w:val="00E71ACB"/>
    <w:rsid w:val="00E73DC8"/>
    <w:rsid w:val="00E8327A"/>
    <w:rsid w:val="00E844FA"/>
    <w:rsid w:val="00E8462E"/>
    <w:rsid w:val="00E857D1"/>
    <w:rsid w:val="00E930BA"/>
    <w:rsid w:val="00EA17FF"/>
    <w:rsid w:val="00EA5690"/>
    <w:rsid w:val="00EA5C67"/>
    <w:rsid w:val="00EB0ED4"/>
    <w:rsid w:val="00EB3E2E"/>
    <w:rsid w:val="00EB46BF"/>
    <w:rsid w:val="00EB5970"/>
    <w:rsid w:val="00EB5DF9"/>
    <w:rsid w:val="00EC1FCA"/>
    <w:rsid w:val="00EC2A1A"/>
    <w:rsid w:val="00EC35AF"/>
    <w:rsid w:val="00EC413A"/>
    <w:rsid w:val="00EC5E9A"/>
    <w:rsid w:val="00EC6035"/>
    <w:rsid w:val="00EC695D"/>
    <w:rsid w:val="00ED745A"/>
    <w:rsid w:val="00EE0357"/>
    <w:rsid w:val="00EE2ED8"/>
    <w:rsid w:val="00EE4AA4"/>
    <w:rsid w:val="00EE4D9C"/>
    <w:rsid w:val="00EE55C9"/>
    <w:rsid w:val="00EE76EE"/>
    <w:rsid w:val="00EF1AD3"/>
    <w:rsid w:val="00EF7A89"/>
    <w:rsid w:val="00EF7C54"/>
    <w:rsid w:val="00EF7C5C"/>
    <w:rsid w:val="00F00277"/>
    <w:rsid w:val="00F046C2"/>
    <w:rsid w:val="00F06785"/>
    <w:rsid w:val="00F07036"/>
    <w:rsid w:val="00F071FC"/>
    <w:rsid w:val="00F1176A"/>
    <w:rsid w:val="00F1194E"/>
    <w:rsid w:val="00F20430"/>
    <w:rsid w:val="00F209AC"/>
    <w:rsid w:val="00F2241B"/>
    <w:rsid w:val="00F23A32"/>
    <w:rsid w:val="00F24798"/>
    <w:rsid w:val="00F26B28"/>
    <w:rsid w:val="00F26BFE"/>
    <w:rsid w:val="00F32736"/>
    <w:rsid w:val="00F334C1"/>
    <w:rsid w:val="00F353EE"/>
    <w:rsid w:val="00F35910"/>
    <w:rsid w:val="00F42718"/>
    <w:rsid w:val="00F42D0C"/>
    <w:rsid w:val="00F43CAE"/>
    <w:rsid w:val="00F444E0"/>
    <w:rsid w:val="00F4571B"/>
    <w:rsid w:val="00F478DB"/>
    <w:rsid w:val="00F52865"/>
    <w:rsid w:val="00F55AC4"/>
    <w:rsid w:val="00F55F57"/>
    <w:rsid w:val="00F568BD"/>
    <w:rsid w:val="00F56ADB"/>
    <w:rsid w:val="00F57867"/>
    <w:rsid w:val="00F602B7"/>
    <w:rsid w:val="00F60ED1"/>
    <w:rsid w:val="00F61176"/>
    <w:rsid w:val="00F61FF3"/>
    <w:rsid w:val="00F62D95"/>
    <w:rsid w:val="00F640B2"/>
    <w:rsid w:val="00F67A5E"/>
    <w:rsid w:val="00F70CF4"/>
    <w:rsid w:val="00F7153A"/>
    <w:rsid w:val="00F7274B"/>
    <w:rsid w:val="00F737AE"/>
    <w:rsid w:val="00F73915"/>
    <w:rsid w:val="00F742B2"/>
    <w:rsid w:val="00F76865"/>
    <w:rsid w:val="00F8091B"/>
    <w:rsid w:val="00F81D85"/>
    <w:rsid w:val="00F8281C"/>
    <w:rsid w:val="00F836D9"/>
    <w:rsid w:val="00F8377F"/>
    <w:rsid w:val="00F83DBF"/>
    <w:rsid w:val="00F85801"/>
    <w:rsid w:val="00F868EC"/>
    <w:rsid w:val="00F87147"/>
    <w:rsid w:val="00FA1581"/>
    <w:rsid w:val="00FA1D0B"/>
    <w:rsid w:val="00FA3952"/>
    <w:rsid w:val="00FA52DB"/>
    <w:rsid w:val="00FA66B8"/>
    <w:rsid w:val="00FA6897"/>
    <w:rsid w:val="00FB0106"/>
    <w:rsid w:val="00FB0EE1"/>
    <w:rsid w:val="00FB3820"/>
    <w:rsid w:val="00FB46A6"/>
    <w:rsid w:val="00FB4E7A"/>
    <w:rsid w:val="00FB5390"/>
    <w:rsid w:val="00FC039E"/>
    <w:rsid w:val="00FC688E"/>
    <w:rsid w:val="00FC7528"/>
    <w:rsid w:val="00FC7B05"/>
    <w:rsid w:val="00FC7F76"/>
    <w:rsid w:val="00FD0CF3"/>
    <w:rsid w:val="00FD4ACE"/>
    <w:rsid w:val="00FD664C"/>
    <w:rsid w:val="00FD6D0C"/>
    <w:rsid w:val="00FE096D"/>
    <w:rsid w:val="00FE6F55"/>
    <w:rsid w:val="00FF0336"/>
    <w:rsid w:val="00FF0D02"/>
    <w:rsid w:val="00FF10DB"/>
    <w:rsid w:val="00FF13EE"/>
    <w:rsid w:val="00FF3E93"/>
    <w:rsid w:val="00FF55EA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paragraph" w:styleId="Ttulo1">
    <w:name w:val="heading 1"/>
    <w:basedOn w:val="Normal"/>
    <w:next w:val="Normal"/>
    <w:link w:val="Ttulo1Char"/>
    <w:uiPriority w:val="9"/>
    <w:qFormat/>
    <w:rsid w:val="00FB382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FC7B05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FC7B05"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FC7B05"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FC7B05"/>
    <w:pPr>
      <w:keepNext/>
      <w:jc w:val="both"/>
      <w:outlineLvl w:val="4"/>
    </w:pPr>
    <w:rPr>
      <w:i/>
      <w:sz w:val="28"/>
    </w:rPr>
  </w:style>
  <w:style w:type="paragraph" w:styleId="Ttulo6">
    <w:name w:val="heading 6"/>
    <w:basedOn w:val="Normal"/>
    <w:next w:val="Normal"/>
    <w:link w:val="Ttulo6Char"/>
    <w:uiPriority w:val="9"/>
    <w:qFormat/>
    <w:rsid w:val="00FC7B05"/>
    <w:pPr>
      <w:keepNext/>
      <w:ind w:firstLine="993"/>
      <w:jc w:val="center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uiPriority w:val="9"/>
    <w:qFormat/>
    <w:rsid w:val="00FC7B05"/>
    <w:pPr>
      <w:keepNext/>
      <w:ind w:firstLine="135"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link w:val="Ttulo8Char"/>
    <w:uiPriority w:val="9"/>
    <w:qFormat/>
    <w:rsid w:val="00FC7B05"/>
    <w:pPr>
      <w:keepNext/>
      <w:ind w:firstLine="80"/>
      <w:outlineLvl w:val="7"/>
    </w:pPr>
    <w:rPr>
      <w:sz w:val="28"/>
    </w:rPr>
  </w:style>
  <w:style w:type="paragraph" w:styleId="Ttulo9">
    <w:name w:val="heading 9"/>
    <w:basedOn w:val="Normal"/>
    <w:next w:val="Normal"/>
    <w:link w:val="Ttulo9Char"/>
    <w:uiPriority w:val="9"/>
    <w:qFormat/>
    <w:rsid w:val="00FC7B05"/>
    <w:pPr>
      <w:keepNext/>
      <w:ind w:hanging="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FB3820"/>
    <w:rPr>
      <w:rFonts w:ascii="Cambria" w:hAnsi="Cambria" w:cs="Times New Roman"/>
      <w:b/>
      <w:color w:val="365F91"/>
      <w:sz w:val="28"/>
    </w:rPr>
  </w:style>
  <w:style w:type="character" w:customStyle="1" w:styleId="Ttulo2Char">
    <w:name w:val="Título 2 Char"/>
    <w:basedOn w:val="Fontepargpadro"/>
    <w:link w:val="Ttulo2"/>
    <w:uiPriority w:val="9"/>
    <w:locked/>
    <w:rsid w:val="00FC7B05"/>
    <w:rPr>
      <w:rFonts w:cs="Times New Roman"/>
      <w:sz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FC7B05"/>
    <w:rPr>
      <w:rFonts w:cs="Times New Roman"/>
      <w:sz w:val="28"/>
    </w:rPr>
  </w:style>
  <w:style w:type="character" w:customStyle="1" w:styleId="Ttulo4Char">
    <w:name w:val="Título 4 Char"/>
    <w:basedOn w:val="Fontepargpadro"/>
    <w:link w:val="Ttulo4"/>
    <w:uiPriority w:val="9"/>
    <w:locked/>
    <w:rsid w:val="00FC7B05"/>
    <w:rPr>
      <w:rFonts w:cs="Times New Roman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locked/>
    <w:rsid w:val="00FC7B05"/>
    <w:rPr>
      <w:rFonts w:cs="Times New Roman"/>
      <w:i/>
      <w:sz w:val="28"/>
    </w:rPr>
  </w:style>
  <w:style w:type="character" w:customStyle="1" w:styleId="Ttulo6Char">
    <w:name w:val="Título 6 Char"/>
    <w:basedOn w:val="Fontepargpadro"/>
    <w:link w:val="Ttulo6"/>
    <w:uiPriority w:val="9"/>
    <w:locked/>
    <w:rsid w:val="00FC7B05"/>
    <w:rPr>
      <w:rFonts w:cs="Times New Roman"/>
      <w:b/>
      <w:sz w:val="28"/>
    </w:rPr>
  </w:style>
  <w:style w:type="character" w:customStyle="1" w:styleId="Ttulo7Char">
    <w:name w:val="Título 7 Char"/>
    <w:basedOn w:val="Fontepargpadro"/>
    <w:link w:val="Ttulo7"/>
    <w:uiPriority w:val="9"/>
    <w:locked/>
    <w:rsid w:val="00FC7B05"/>
    <w:rPr>
      <w:rFonts w:cs="Times New Roman"/>
      <w:sz w:val="28"/>
    </w:rPr>
  </w:style>
  <w:style w:type="character" w:customStyle="1" w:styleId="Ttulo8Char">
    <w:name w:val="Título 8 Char"/>
    <w:basedOn w:val="Fontepargpadro"/>
    <w:link w:val="Ttulo8"/>
    <w:uiPriority w:val="9"/>
    <w:locked/>
    <w:rsid w:val="00FC7B05"/>
    <w:rPr>
      <w:rFonts w:cs="Times New Roman"/>
      <w:sz w:val="28"/>
    </w:rPr>
  </w:style>
  <w:style w:type="character" w:customStyle="1" w:styleId="Ttulo9Char">
    <w:name w:val="Título 9 Char"/>
    <w:basedOn w:val="Fontepargpadro"/>
    <w:link w:val="Ttulo9"/>
    <w:uiPriority w:val="9"/>
    <w:locked/>
    <w:rsid w:val="00FC7B05"/>
    <w:rPr>
      <w:rFonts w:cs="Times New Roman"/>
      <w:sz w:val="28"/>
    </w:rPr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FB3820"/>
    <w:rPr>
      <w:rFonts w:cs="Times New Roman"/>
      <w:sz w:val="28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  <w:style w:type="paragraph" w:styleId="Ttulo">
    <w:name w:val="Title"/>
    <w:basedOn w:val="Normal"/>
    <w:link w:val="TtuloChar"/>
    <w:uiPriority w:val="10"/>
    <w:qFormat/>
    <w:rsid w:val="00FB3820"/>
    <w:pPr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sid w:val="00FB3820"/>
    <w:rPr>
      <w:rFonts w:cs="Times New Roman"/>
      <w:b/>
      <w:sz w:val="24"/>
    </w:rPr>
  </w:style>
  <w:style w:type="paragraph" w:styleId="PargrafodaLista">
    <w:name w:val="List Paragraph"/>
    <w:basedOn w:val="Normal"/>
    <w:uiPriority w:val="34"/>
    <w:qFormat/>
    <w:rsid w:val="00FB3820"/>
    <w:pPr>
      <w:ind w:left="708"/>
    </w:pPr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rsid w:val="00FB3820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FB3820"/>
    <w:rPr>
      <w:rFonts w:cs="Times New Roman"/>
    </w:rPr>
  </w:style>
  <w:style w:type="character" w:styleId="Refdenotaderodap">
    <w:name w:val="footnote reference"/>
    <w:basedOn w:val="Fontepargpadro"/>
    <w:uiPriority w:val="99"/>
    <w:rsid w:val="00FB3820"/>
    <w:rPr>
      <w:rFonts w:cs="Times New Roman"/>
      <w:vertAlign w:val="superscript"/>
    </w:rPr>
  </w:style>
  <w:style w:type="character" w:styleId="Refdecomentrio">
    <w:name w:val="annotation reference"/>
    <w:basedOn w:val="Fontepargpadro"/>
    <w:uiPriority w:val="99"/>
    <w:rsid w:val="00FB3820"/>
    <w:rPr>
      <w:rFonts w:cs="Times New Roman"/>
      <w:sz w:val="16"/>
    </w:rPr>
  </w:style>
  <w:style w:type="character" w:styleId="Refdenotadefim">
    <w:name w:val="endnote reference"/>
    <w:basedOn w:val="Fontepargpadro"/>
    <w:uiPriority w:val="99"/>
    <w:rsid w:val="00FB3820"/>
    <w:rPr>
      <w:rFonts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rsid w:val="00FB3820"/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FB3820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FB3820"/>
    <w:pPr>
      <w:spacing w:line="480" w:lineRule="auto"/>
      <w:jc w:val="center"/>
    </w:pPr>
    <w:rPr>
      <w:rFonts w:ascii="Arial" w:hAnsi="Arial"/>
      <w:b/>
      <w:sz w:val="28"/>
      <w:szCs w:val="32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FB3820"/>
    <w:rPr>
      <w:rFonts w:ascii="Arial" w:hAnsi="Arial" w:cs="Times New Roman"/>
      <w:b/>
      <w:sz w:val="32"/>
    </w:rPr>
  </w:style>
  <w:style w:type="paragraph" w:styleId="Corpodetexto3">
    <w:name w:val="Body Text 3"/>
    <w:basedOn w:val="Normal"/>
    <w:link w:val="Corpodetexto3Char"/>
    <w:uiPriority w:val="99"/>
    <w:rsid w:val="00FB382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B3820"/>
    <w:rPr>
      <w:rFonts w:cs="Times New Roman"/>
      <w:sz w:val="16"/>
    </w:rPr>
  </w:style>
  <w:style w:type="paragraph" w:styleId="Recuodecorpodetexto2">
    <w:name w:val="Body Text Indent 2"/>
    <w:basedOn w:val="Normal"/>
    <w:link w:val="Recuodecorpodetexto2Char"/>
    <w:uiPriority w:val="99"/>
    <w:rsid w:val="00FB382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FB3820"/>
    <w:rPr>
      <w:rFonts w:cs="Times New Roman"/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FB38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FB3820"/>
    <w:rPr>
      <w:rFonts w:cs="Times New Roman"/>
      <w:b/>
    </w:rPr>
  </w:style>
  <w:style w:type="paragraph" w:customStyle="1" w:styleId="style17">
    <w:name w:val="style17"/>
    <w:basedOn w:val="Normal"/>
    <w:rsid w:val="00FB3820"/>
    <w:pPr>
      <w:spacing w:before="100" w:beforeAutospacing="1" w:after="100" w:afterAutospacing="1" w:line="276" w:lineRule="auto"/>
    </w:pPr>
    <w:rPr>
      <w:rFonts w:ascii="Arial" w:hAnsi="Arial" w:cs="Arial"/>
      <w:sz w:val="17"/>
      <w:szCs w:val="17"/>
      <w:lang w:eastAsia="en-US"/>
    </w:rPr>
  </w:style>
  <w:style w:type="paragraph" w:customStyle="1" w:styleId="tj">
    <w:name w:val="tj"/>
    <w:basedOn w:val="Normal"/>
    <w:rsid w:val="00FB3820"/>
    <w:pPr>
      <w:spacing w:before="100" w:beforeAutospacing="1" w:after="100" w:afterAutospacing="1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texto10">
    <w:name w:val="texto10"/>
    <w:basedOn w:val="Normal"/>
    <w:rsid w:val="00FB38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FF73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edsearchterm">
    <w:name w:val="highlightedsearchterm"/>
    <w:basedOn w:val="Fontepargpadro"/>
    <w:rsid w:val="00FF734A"/>
    <w:rPr>
      <w:rFonts w:cs="Times New Roman"/>
    </w:rPr>
  </w:style>
  <w:style w:type="table" w:styleId="Tabelacomgrade">
    <w:name w:val="Table Grid"/>
    <w:basedOn w:val="Tabelanormal"/>
    <w:uiPriority w:val="59"/>
    <w:rsid w:val="0061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rsid w:val="00E12092"/>
    <w:pPr>
      <w:spacing w:line="181" w:lineRule="atLeast"/>
    </w:pPr>
    <w:rPr>
      <w:rFonts w:cs="Times New Roman"/>
      <w:color w:val="auto"/>
      <w:lang w:eastAsia="pt-BR"/>
    </w:rPr>
  </w:style>
  <w:style w:type="paragraph" w:customStyle="1" w:styleId="PargrafodaLista1">
    <w:name w:val="Parágrafo da Lista1"/>
    <w:basedOn w:val="Normal"/>
    <w:qFormat/>
    <w:rsid w:val="00E1209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FC7B05"/>
    <w:pPr>
      <w:jc w:val="both"/>
    </w:pPr>
    <w:rPr>
      <w:i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FC7B05"/>
    <w:rPr>
      <w:rFonts w:cs="Times New Roman"/>
      <w:i/>
      <w:sz w:val="24"/>
    </w:rPr>
  </w:style>
  <w:style w:type="paragraph" w:customStyle="1" w:styleId="Blockquote">
    <w:name w:val="Blockquote"/>
    <w:basedOn w:val="Normal"/>
    <w:rsid w:val="00FC7B05"/>
    <w:pPr>
      <w:spacing w:before="100" w:after="100"/>
      <w:ind w:left="360" w:right="360"/>
    </w:pPr>
    <w:rPr>
      <w:sz w:val="24"/>
    </w:rPr>
  </w:style>
  <w:style w:type="character" w:styleId="nfase">
    <w:name w:val="Emphasis"/>
    <w:basedOn w:val="Fontepargpadro"/>
    <w:uiPriority w:val="20"/>
    <w:qFormat/>
    <w:rsid w:val="00FC7B05"/>
    <w:rPr>
      <w:rFonts w:cs="Times New Roman"/>
      <w:i/>
    </w:rPr>
  </w:style>
  <w:style w:type="character" w:styleId="Forte">
    <w:name w:val="Strong"/>
    <w:basedOn w:val="Fontepargpadro"/>
    <w:uiPriority w:val="99"/>
    <w:qFormat/>
    <w:rsid w:val="00FC7B05"/>
    <w:rPr>
      <w:rFonts w:cs="Times New Roman"/>
      <w:b/>
    </w:rPr>
  </w:style>
  <w:style w:type="paragraph" w:customStyle="1" w:styleId="DefinitionList">
    <w:name w:val="Definition List"/>
    <w:basedOn w:val="Normal"/>
    <w:next w:val="DefinitionTerm"/>
    <w:rsid w:val="00FC7B05"/>
    <w:pPr>
      <w:ind w:left="360"/>
    </w:pPr>
    <w:rPr>
      <w:sz w:val="24"/>
    </w:rPr>
  </w:style>
  <w:style w:type="paragraph" w:customStyle="1" w:styleId="DefinitionTerm">
    <w:name w:val="Definition Term"/>
    <w:basedOn w:val="Normal"/>
    <w:next w:val="DefinitionList"/>
    <w:rsid w:val="00FC7B05"/>
    <w:rPr>
      <w:sz w:val="24"/>
    </w:rPr>
  </w:style>
  <w:style w:type="character" w:styleId="Hyperlink">
    <w:name w:val="Hyperlink"/>
    <w:basedOn w:val="Fontepargpadro"/>
    <w:uiPriority w:val="99"/>
    <w:rsid w:val="00FC7B05"/>
    <w:rPr>
      <w:rFonts w:cs="Times New Roman"/>
      <w:color w:val="0000F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rsid w:val="00FC7B05"/>
    <w:pPr>
      <w:tabs>
        <w:tab w:val="left" w:pos="1134"/>
      </w:tabs>
      <w:ind w:firstLine="2268"/>
      <w:jc w:val="center"/>
    </w:pPr>
    <w:rPr>
      <w:b/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FC7B05"/>
    <w:rPr>
      <w:rFonts w:cs="Times New Roman"/>
      <w:b/>
      <w:sz w:val="28"/>
    </w:rPr>
  </w:style>
  <w:style w:type="paragraph" w:customStyle="1" w:styleId="BodyText22">
    <w:name w:val="Body Text 22"/>
    <w:basedOn w:val="Normal"/>
    <w:rsid w:val="00FC7B05"/>
    <w:pPr>
      <w:widowControl w:val="0"/>
      <w:jc w:val="both"/>
    </w:pPr>
    <w:rPr>
      <w:rFonts w:ascii="Arial" w:hAnsi="Arial"/>
      <w:sz w:val="24"/>
    </w:rPr>
  </w:style>
  <w:style w:type="paragraph" w:customStyle="1" w:styleId="Preformatted">
    <w:name w:val="Preformatted"/>
    <w:basedOn w:val="Normal"/>
    <w:rsid w:val="00FC7B0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Textoembloco">
    <w:name w:val="Block Text"/>
    <w:basedOn w:val="Normal"/>
    <w:uiPriority w:val="99"/>
    <w:rsid w:val="00FC7B05"/>
    <w:pPr>
      <w:ind w:left="29" w:right="-24" w:firstLine="1134"/>
      <w:jc w:val="both"/>
    </w:pPr>
    <w:rPr>
      <w:sz w:val="28"/>
    </w:rPr>
  </w:style>
  <w:style w:type="paragraph" w:styleId="MapadoDocumento">
    <w:name w:val="Document Map"/>
    <w:basedOn w:val="Normal"/>
    <w:link w:val="MapadoDocumentoChar"/>
    <w:uiPriority w:val="99"/>
    <w:rsid w:val="00FC7B05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FC7B05"/>
    <w:rPr>
      <w:rFonts w:ascii="Tahoma" w:hAnsi="Tahoma" w:cs="Times New Roman"/>
      <w:shd w:val="clear" w:color="auto" w:fill="000080"/>
    </w:rPr>
  </w:style>
  <w:style w:type="character" w:styleId="HiperlinkVisitado">
    <w:name w:val="FollowedHyperlink"/>
    <w:basedOn w:val="Fontepargpadro"/>
    <w:uiPriority w:val="99"/>
    <w:rsid w:val="00FC7B05"/>
    <w:rPr>
      <w:rFonts w:cs="Times New Roman"/>
      <w:color w:val="800080"/>
      <w:u w:val="single"/>
    </w:rPr>
  </w:style>
  <w:style w:type="character" w:customStyle="1" w:styleId="Definition">
    <w:name w:val="Definition"/>
    <w:rsid w:val="00FC7B05"/>
    <w:rPr>
      <w:i/>
    </w:rPr>
  </w:style>
  <w:style w:type="paragraph" w:customStyle="1" w:styleId="H1">
    <w:name w:val="H1"/>
    <w:basedOn w:val="Normal"/>
    <w:next w:val="Normal"/>
    <w:rsid w:val="00FC7B05"/>
    <w:pPr>
      <w:keepNext/>
      <w:spacing w:before="100" w:after="100"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FC7B05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FC7B05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FC7B05"/>
    <w:pPr>
      <w:keepNext/>
      <w:spacing w:before="100" w:after="100"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rsid w:val="00FC7B05"/>
    <w:pPr>
      <w:keepNext/>
      <w:spacing w:before="100" w:after="100"/>
      <w:outlineLvl w:val="5"/>
    </w:pPr>
    <w:rPr>
      <w:b/>
    </w:rPr>
  </w:style>
  <w:style w:type="paragraph" w:customStyle="1" w:styleId="H6">
    <w:name w:val="H6"/>
    <w:basedOn w:val="Normal"/>
    <w:next w:val="Normal"/>
    <w:rsid w:val="00FC7B05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FC7B05"/>
    <w:rPr>
      <w:i/>
      <w:sz w:val="24"/>
    </w:rPr>
  </w:style>
  <w:style w:type="character" w:customStyle="1" w:styleId="CITE">
    <w:name w:val="CITE"/>
    <w:rsid w:val="00FC7B05"/>
    <w:rPr>
      <w:i/>
    </w:rPr>
  </w:style>
  <w:style w:type="character" w:customStyle="1" w:styleId="CODE">
    <w:name w:val="CODE"/>
    <w:rsid w:val="00FC7B05"/>
    <w:rPr>
      <w:rFonts w:ascii="Courier New" w:hAnsi="Courier New"/>
      <w:sz w:val="20"/>
    </w:rPr>
  </w:style>
  <w:style w:type="character" w:customStyle="1" w:styleId="Keyboard">
    <w:name w:val="Keyboard"/>
    <w:rsid w:val="00FC7B05"/>
    <w:rPr>
      <w:rFonts w:ascii="Courier New" w:hAnsi="Courier New"/>
      <w:b/>
      <w:sz w:val="20"/>
    </w:rPr>
  </w:style>
  <w:style w:type="paragraph" w:customStyle="1" w:styleId="z-BottomofForm">
    <w:name w:val="z-Bottom of Form"/>
    <w:next w:val="Normal"/>
    <w:hidden/>
    <w:rsid w:val="00FC7B05"/>
    <w:pPr>
      <w:pBdr>
        <w:top w:val="double" w:sz="2" w:space="0" w:color="000000"/>
      </w:pBdr>
      <w:jc w:val="center"/>
    </w:pPr>
    <w:rPr>
      <w:rFonts w:ascii="Arial" w:hAnsi="Arial"/>
      <w:vanish/>
      <w:sz w:val="16"/>
    </w:rPr>
  </w:style>
  <w:style w:type="paragraph" w:customStyle="1" w:styleId="z-TopofForm">
    <w:name w:val="z-Top of Form"/>
    <w:next w:val="Normal"/>
    <w:hidden/>
    <w:rsid w:val="00FC7B05"/>
    <w:pPr>
      <w:pBdr>
        <w:bottom w:val="double" w:sz="2" w:space="0" w:color="000000"/>
      </w:pBdr>
      <w:jc w:val="center"/>
    </w:pPr>
    <w:rPr>
      <w:rFonts w:ascii="Arial" w:hAnsi="Arial"/>
      <w:vanish/>
      <w:sz w:val="16"/>
    </w:rPr>
  </w:style>
  <w:style w:type="character" w:customStyle="1" w:styleId="Sample">
    <w:name w:val="Sample"/>
    <w:rsid w:val="00FC7B05"/>
    <w:rPr>
      <w:rFonts w:ascii="Courier New" w:hAnsi="Courier New"/>
    </w:rPr>
  </w:style>
  <w:style w:type="character" w:customStyle="1" w:styleId="Typewriter">
    <w:name w:val="Typewriter"/>
    <w:rsid w:val="00FC7B05"/>
    <w:rPr>
      <w:rFonts w:ascii="Courier New" w:hAnsi="Courier New"/>
      <w:sz w:val="20"/>
    </w:rPr>
  </w:style>
  <w:style w:type="character" w:customStyle="1" w:styleId="Variable">
    <w:name w:val="Variable"/>
    <w:rsid w:val="00FC7B05"/>
    <w:rPr>
      <w:i/>
    </w:rPr>
  </w:style>
  <w:style w:type="character" w:customStyle="1" w:styleId="HTMLMarkup">
    <w:name w:val="HTML Markup"/>
    <w:rsid w:val="00FC7B05"/>
    <w:rPr>
      <w:vanish/>
      <w:color w:val="FF0000"/>
    </w:rPr>
  </w:style>
  <w:style w:type="character" w:customStyle="1" w:styleId="Comment">
    <w:name w:val="Comment"/>
    <w:rsid w:val="00FC7B05"/>
    <w:rPr>
      <w:vanish/>
    </w:rPr>
  </w:style>
  <w:style w:type="paragraph" w:styleId="TextosemFormatao">
    <w:name w:val="Plain Text"/>
    <w:basedOn w:val="Normal"/>
    <w:link w:val="TextosemFormataoChar"/>
    <w:uiPriority w:val="99"/>
    <w:rsid w:val="00FC7B05"/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FC7B05"/>
    <w:rPr>
      <w:rFonts w:ascii="Courier New" w:hAnsi="Courier New" w:cs="Times New Roman"/>
    </w:rPr>
  </w:style>
  <w:style w:type="paragraph" w:customStyle="1" w:styleId="Estilo1">
    <w:name w:val="Estilo1"/>
    <w:basedOn w:val="Normal"/>
    <w:rsid w:val="00FC7B05"/>
    <w:rPr>
      <w:rFonts w:ascii="Arial" w:hAnsi="Arial"/>
      <w:szCs w:val="24"/>
    </w:rPr>
  </w:style>
  <w:style w:type="paragraph" w:customStyle="1" w:styleId="Estilo2">
    <w:name w:val="Estilo2"/>
    <w:basedOn w:val="Normal"/>
    <w:rsid w:val="00FC7B05"/>
    <w:pPr>
      <w:ind w:right="-1242"/>
    </w:pPr>
    <w:rPr>
      <w:rFonts w:ascii="Arial" w:hAnsi="Arial" w:cs="Arial"/>
      <w:sz w:val="22"/>
      <w:szCs w:val="24"/>
    </w:rPr>
  </w:style>
  <w:style w:type="paragraph" w:customStyle="1" w:styleId="propassinaturas">
    <w:name w:val="propassinaturas"/>
    <w:basedOn w:val="Normal"/>
    <w:rsid w:val="00FC7B05"/>
    <w:pPr>
      <w:spacing w:before="100" w:beforeAutospacing="1" w:after="100" w:afterAutospacing="1"/>
    </w:pPr>
    <w:rPr>
      <w:sz w:val="24"/>
      <w:szCs w:val="24"/>
    </w:rPr>
  </w:style>
  <w:style w:type="paragraph" w:customStyle="1" w:styleId="Pa7">
    <w:name w:val="Pa7"/>
    <w:basedOn w:val="Normal"/>
    <w:next w:val="Normal"/>
    <w:rsid w:val="00FC7B05"/>
    <w:pPr>
      <w:autoSpaceDE w:val="0"/>
      <w:autoSpaceDN w:val="0"/>
      <w:adjustRightInd w:val="0"/>
      <w:spacing w:line="180" w:lineRule="atLeast"/>
    </w:pPr>
    <w:rPr>
      <w:rFonts w:ascii="Arial" w:hAnsi="Arial"/>
      <w:sz w:val="24"/>
      <w:szCs w:val="24"/>
    </w:rPr>
  </w:style>
  <w:style w:type="character" w:customStyle="1" w:styleId="texto1">
    <w:name w:val="texto1"/>
    <w:rsid w:val="00FC7B05"/>
    <w:rPr>
      <w:rFonts w:ascii="Arial" w:hAnsi="Arial"/>
      <w:color w:val="666666"/>
      <w:sz w:val="16"/>
      <w:u w:val="none"/>
      <w:effect w:val="none"/>
    </w:rPr>
  </w:style>
  <w:style w:type="paragraph" w:customStyle="1" w:styleId="contedodetabela">
    <w:name w:val="contedodetabela"/>
    <w:basedOn w:val="Normal"/>
    <w:rsid w:val="00FC7B05"/>
    <w:pPr>
      <w:spacing w:before="100" w:beforeAutospacing="1" w:after="100" w:afterAutospacing="1"/>
    </w:pPr>
    <w:rPr>
      <w:sz w:val="24"/>
      <w:szCs w:val="24"/>
    </w:rPr>
  </w:style>
  <w:style w:type="paragraph" w:customStyle="1" w:styleId="texto-recuo-1a-linha">
    <w:name w:val="texto-recuo-1a-linha"/>
    <w:basedOn w:val="Normal"/>
    <w:rsid w:val="00FC7B05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"/>
    <w:rsid w:val="00FC7B0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st">
    <w:name w:val="st"/>
    <w:basedOn w:val="Fontepargpadro"/>
    <w:rsid w:val="00FC7B05"/>
    <w:rPr>
      <w:rFonts w:cs="Times New Roman"/>
    </w:rPr>
  </w:style>
  <w:style w:type="paragraph" w:customStyle="1" w:styleId="font5">
    <w:name w:val="font5"/>
    <w:basedOn w:val="Normal"/>
    <w:rsid w:val="00FC7B05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font6">
    <w:name w:val="font6"/>
    <w:basedOn w:val="Normal"/>
    <w:rsid w:val="00FC7B05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18"/>
      <w:szCs w:val="18"/>
    </w:rPr>
  </w:style>
  <w:style w:type="paragraph" w:customStyle="1" w:styleId="xl66">
    <w:name w:val="xl66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67">
    <w:name w:val="xl67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8">
    <w:name w:val="xl68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69">
    <w:name w:val="xl69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2">
    <w:name w:val="xl72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4">
    <w:name w:val="xl74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5">
    <w:name w:val="xl75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6">
    <w:name w:val="xl76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8">
    <w:name w:val="xl78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9">
    <w:name w:val="xl79"/>
    <w:basedOn w:val="Normal"/>
    <w:rsid w:val="00FC7B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styleId="Reviso">
    <w:name w:val="Revision"/>
    <w:hidden/>
    <w:uiPriority w:val="99"/>
    <w:semiHidden/>
    <w:rsid w:val="00562568"/>
  </w:style>
  <w:style w:type="character" w:customStyle="1" w:styleId="A6">
    <w:name w:val="A6"/>
    <w:uiPriority w:val="99"/>
    <w:rsid w:val="00A013B1"/>
    <w:rPr>
      <w:color w:val="000000"/>
      <w:sz w:val="20"/>
    </w:rPr>
  </w:style>
  <w:style w:type="paragraph" w:styleId="SemEspaamento">
    <w:name w:val="No Spacing"/>
    <w:uiPriority w:val="1"/>
    <w:qFormat/>
    <w:rsid w:val="008615D0"/>
    <w:rPr>
      <w:sz w:val="24"/>
      <w:szCs w:val="24"/>
    </w:rPr>
  </w:style>
  <w:style w:type="character" w:customStyle="1" w:styleId="apple-converted-space">
    <w:name w:val="apple-converted-space"/>
    <w:rsid w:val="00300763"/>
  </w:style>
  <w:style w:type="paragraph" w:customStyle="1" w:styleId="z-BottomofForm1">
    <w:name w:val="z-Bottom of Form1"/>
    <w:next w:val="Normal"/>
    <w:hidden/>
    <w:rsid w:val="009B301F"/>
    <w:pPr>
      <w:pBdr>
        <w:top w:val="double" w:sz="2" w:space="0" w:color="000000"/>
      </w:pBdr>
      <w:jc w:val="center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hidden/>
    <w:rsid w:val="009B301F"/>
    <w:pPr>
      <w:pBdr>
        <w:bottom w:val="double" w:sz="2" w:space="0" w:color="000000"/>
      </w:pBdr>
      <w:jc w:val="center"/>
    </w:pPr>
    <w:rPr>
      <w:rFonts w:ascii="Arial" w:hAnsi="Arial"/>
      <w:vanish/>
      <w:sz w:val="16"/>
    </w:rPr>
  </w:style>
  <w:style w:type="paragraph" w:customStyle="1" w:styleId="xl80">
    <w:name w:val="xl80"/>
    <w:basedOn w:val="Normal"/>
    <w:rsid w:val="005232D0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67EA2-4EC1-40F0-870C-F0231D03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52580</Words>
  <Characters>283935</Characters>
  <Application>Microsoft Office Word</Application>
  <DocSecurity>0</DocSecurity>
  <Lines>2366</Lines>
  <Paragraphs>671</Paragraphs>
  <ScaleCrop>false</ScaleCrop>
  <Company>anvs</Company>
  <LinksUpToDate>false</LinksUpToDate>
  <CharactersWithSpaces>335844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Renato Alencar Porto</dc:creator>
  <cp:keywords/>
  <dc:description/>
  <cp:lastModifiedBy>Julia de Souza Ferreira</cp:lastModifiedBy>
  <cp:revision>2</cp:revision>
  <cp:lastPrinted>2015-07-22T19:59:00Z</cp:lastPrinted>
  <dcterms:created xsi:type="dcterms:W3CDTF">2018-08-16T18:52:00Z</dcterms:created>
  <dcterms:modified xsi:type="dcterms:W3CDTF">2018-08-16T18:52:00Z</dcterms:modified>
</cp:coreProperties>
</file>