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A" w:rsidRPr="000D4FBE" w:rsidRDefault="00FD304A" w:rsidP="003C42C4">
      <w:pPr>
        <w:pStyle w:val="Ttulo1"/>
        <w:divId w:val="24203448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4FBE">
        <w:rPr>
          <w:rFonts w:ascii="Times New Roman" w:hAnsi="Times New Roman" w:cs="Times New Roman"/>
          <w:sz w:val="24"/>
          <w:szCs w:val="24"/>
        </w:rPr>
        <w:t xml:space="preserve">RESOLUÇÃO </w:t>
      </w:r>
      <w:r w:rsidR="003C42C4" w:rsidRPr="000D4FBE">
        <w:rPr>
          <w:rFonts w:ascii="Times New Roman" w:hAnsi="Times New Roman" w:cs="Times New Roman"/>
          <w:sz w:val="24"/>
          <w:szCs w:val="24"/>
        </w:rPr>
        <w:t>da diretoria colegiada</w:t>
      </w:r>
      <w:r w:rsidRPr="000D4FBE">
        <w:rPr>
          <w:rFonts w:ascii="Times New Roman" w:hAnsi="Times New Roman" w:cs="Times New Roman"/>
          <w:sz w:val="24"/>
          <w:szCs w:val="24"/>
        </w:rPr>
        <w:t>- RDC N° 30, DE 1 DE JUNHO DE 2012</w:t>
      </w:r>
    </w:p>
    <w:p w:rsidR="003C42C4" w:rsidRPr="000D4FBE" w:rsidRDefault="003C42C4" w:rsidP="003C42C4">
      <w:pPr>
        <w:tabs>
          <w:tab w:val="center" w:pos="4252"/>
          <w:tab w:val="right" w:pos="8504"/>
        </w:tabs>
        <w:spacing w:before="0" w:beforeAutospacing="0" w:after="0" w:afterAutospacing="0"/>
        <w:jc w:val="center"/>
        <w:divId w:val="242034483"/>
        <w:rPr>
          <w:b/>
          <w:color w:val="0000FF"/>
        </w:rPr>
      </w:pPr>
      <w:r w:rsidRPr="000D4FBE">
        <w:rPr>
          <w:b/>
          <w:color w:val="0000FF"/>
        </w:rPr>
        <w:t>(Publicada no DOU nº 107, de 4 de junho de 2012)</w:t>
      </w:r>
      <w:r w:rsidRPr="000D4FBE">
        <w:rPr>
          <w:caps/>
          <w:color w:val="0000FF"/>
        </w:rPr>
        <w:t xml:space="preserve"> </w:t>
      </w:r>
    </w:p>
    <w:p w:rsidR="00FD304A" w:rsidRPr="000D4FBE" w:rsidRDefault="00FD304A" w:rsidP="00FD304A">
      <w:pPr>
        <w:autoSpaceDE w:val="0"/>
        <w:autoSpaceDN w:val="0"/>
        <w:adjustRightInd w:val="0"/>
        <w:ind w:left="5220"/>
        <w:jc w:val="both"/>
        <w:divId w:val="242034483"/>
      </w:pPr>
      <w:r w:rsidRPr="000D4FBE">
        <w:t>Aprova o Regulamento Técnico Mercosul sobre Protetores Solares em Cosméticos e dá outras providências.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 xml:space="preserve">A Diretoria Colegiada da Agência Nacional de Vigilância Sanitária,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25 de maio de 2012, 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>adota a seguinte Resolução da Diretoria Colegiada e eu, Diretor-Presidente, determino a sua publicação: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>Art. 1º Fica aprovado o Regulamento Técnico Mercosul sobre Protetores Solares em Cosméticos nos termos desta Resolução.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>Art. 2º Esta Resolução incorpora ao ordenamento jurídico nacional a Resolução GMC MERCOSUL Nº. 08/2011, que aprova o Regulamento Técnico MERCOSUL sobre “Protetores Solares em Cosméticos” e revoga a Resolução GMC nº 26/2002.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  <w:rPr>
          <w:highlight w:val="yellow"/>
        </w:rPr>
      </w:pPr>
      <w:r w:rsidRPr="000D4FBE">
        <w:t>Art. 3º Fica revogada a RDC nº 237, de 22 de agosto de 2002, vinte e quatro meses contados a partir da data de publicação desta RDC.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 xml:space="preserve">§1º  Os produtos poderão ser fabricados  de acordo com a Resolução RDC nº 237, de 22 de agosto de 2002, até o prazo de vinte e quatro meses mencionados no </w:t>
      </w:r>
      <w:r w:rsidRPr="000D4FBE">
        <w:rPr>
          <w:i/>
        </w:rPr>
        <w:t>caput</w:t>
      </w:r>
      <w:r w:rsidRPr="000D4FBE">
        <w:t xml:space="preserve">, deste artigo e poderão ser comercializados até a data dos seus prazos de validade. 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 xml:space="preserve">§2º As empresas fabricantes e importadoras de produtos de higiene pessoal, cosméticos e perfumes já poderão requerer registro, revalidação ou alteração pós-registro de seus produtos com fundamento no Regulamento Técnico aprovado por esta Resolução, sem prejuízo da necessidade de observância da data referida no caput.  </w:t>
      </w: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0D4FBE" w:rsidRDefault="000D4FBE" w:rsidP="00FD304A">
      <w:pPr>
        <w:autoSpaceDE w:val="0"/>
        <w:autoSpaceDN w:val="0"/>
        <w:adjustRightInd w:val="0"/>
        <w:ind w:firstLine="708"/>
        <w:jc w:val="both"/>
        <w:divId w:val="242034483"/>
      </w:pPr>
    </w:p>
    <w:p w:rsidR="00FD304A" w:rsidRPr="000D4FBE" w:rsidRDefault="00FD304A" w:rsidP="00FD304A">
      <w:pPr>
        <w:autoSpaceDE w:val="0"/>
        <w:autoSpaceDN w:val="0"/>
        <w:adjustRightInd w:val="0"/>
        <w:ind w:firstLine="708"/>
        <w:jc w:val="both"/>
        <w:divId w:val="242034483"/>
      </w:pPr>
      <w:r w:rsidRPr="000D4FBE">
        <w:lastRenderedPageBreak/>
        <w:t>Art. 5º Esta Resolução entra em vigor na data de sua publicação.</w:t>
      </w:r>
    </w:p>
    <w:p w:rsidR="00FD304A" w:rsidRPr="000D4FBE" w:rsidRDefault="00FD304A" w:rsidP="003C42C4">
      <w:pPr>
        <w:pStyle w:val="Ttulo2"/>
        <w:spacing w:before="0" w:beforeAutospacing="0" w:after="0" w:afterAutospacing="0"/>
        <w:divId w:val="242034483"/>
        <w:rPr>
          <w:rFonts w:ascii="Times New Roman" w:hAnsi="Times New Roman" w:cs="Times New Roman"/>
          <w:sz w:val="24"/>
          <w:szCs w:val="24"/>
        </w:rPr>
      </w:pPr>
      <w:r w:rsidRPr="000D4FBE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FD304A" w:rsidRPr="000D4FBE" w:rsidRDefault="00FD304A" w:rsidP="003C42C4">
      <w:pPr>
        <w:pStyle w:val="Ttulo2"/>
        <w:spacing w:before="0" w:beforeAutospacing="0" w:after="0" w:afterAutospacing="0"/>
        <w:divId w:val="242034483"/>
        <w:rPr>
          <w:rFonts w:ascii="Times New Roman" w:hAnsi="Times New Roman" w:cs="Times New Roman"/>
          <w:b w:val="0"/>
          <w:sz w:val="24"/>
          <w:szCs w:val="24"/>
        </w:rPr>
      </w:pPr>
      <w:r w:rsidRPr="000D4FBE">
        <w:rPr>
          <w:rFonts w:ascii="Times New Roman" w:hAnsi="Times New Roman" w:cs="Times New Roman"/>
          <w:b w:val="0"/>
          <w:sz w:val="24"/>
          <w:szCs w:val="24"/>
        </w:rPr>
        <w:t>Diretor-Presidente</w:t>
      </w:r>
    </w:p>
    <w:p w:rsidR="000D4FBE" w:rsidRDefault="000D4FBE" w:rsidP="00FD304A">
      <w:pPr>
        <w:pStyle w:val="NormalWeb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FD304A" w:rsidRPr="000D4FBE" w:rsidRDefault="00FD304A" w:rsidP="000D4FBE">
      <w:pPr>
        <w:pStyle w:val="NormalWeb"/>
        <w:ind w:firstLine="0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ADENDO I</w:t>
      </w:r>
    </w:p>
    <w:p w:rsidR="00FD304A" w:rsidRPr="000D4FBE" w:rsidRDefault="00FD304A" w:rsidP="000D4FBE">
      <w:pPr>
        <w:pStyle w:val="NormalWeb"/>
        <w:ind w:firstLine="0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REGULAMENTO TÉCNICO MERCOSUL SOBRE PROTETORES SOLARES EM COSMÉTICOS </w:t>
      </w:r>
    </w:p>
    <w:p w:rsidR="00FD304A" w:rsidRPr="000D4FBE" w:rsidRDefault="00FD304A" w:rsidP="000D4FBE">
      <w:pPr>
        <w:pStyle w:val="NormalWeb"/>
        <w:ind w:firstLine="0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(REVOGAÇÃO DA RES. GMC Nº 26/02)</w:t>
      </w:r>
    </w:p>
    <w:p w:rsidR="00FD304A" w:rsidRPr="000D4FBE" w:rsidRDefault="00FD304A" w:rsidP="000D4FBE">
      <w:pPr>
        <w:pStyle w:val="NormalWeb"/>
        <w:ind w:left="150" w:firstLine="558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TENDO EM VISTA</w:t>
      </w:r>
      <w:r w:rsidRPr="000D4FBE">
        <w:rPr>
          <w:rFonts w:ascii="Times New Roman" w:hAnsi="Times New Roman" w:cs="Times New Roman"/>
          <w:color w:val="auto"/>
          <w:sz w:val="24"/>
          <w:szCs w:val="24"/>
        </w:rPr>
        <w:t>: O Tratado de Assunção, o Protocolo de Ouro Preto e a Resoluções Nº 110/94, 38/98, 26/02 e 56/02 do Grupo Mercado Comum.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CONSIDERANDO: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Que entre as funções definidas na Resolução GMC Nº 110/94 para os produtos de Higiene Pessoal, Cosméticos e Perfumes, se encontram as de proteger a pele e mantê-la em bom estado.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Que existem estudos que demonstram os efeitos negativos da incidência da radiação solar sobre a pele e que o envelhecimento prematuro da pele é favorecido por esta radiação.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Que é necessário estabelecer critérios para a classificação do grau de proteção solar - Fator de Proteção Solar (FPS); os métodos analíticos para a determinação do FPS e da proteção à radiação UVA, para resistência à água e os requisitos de rotulagem para produtos de proteção solar.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O GRUPO MERCADO COMUM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RESOLVE: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Art.1º Aprovar o "Regulamento Técnico MERCOSUL sobre Protetores Solares em Cosméticos", nos termos da presente Resolução.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Art. 2º Revogar a Resolução GMC Nº 26/02.</w:t>
      </w:r>
    </w:p>
    <w:p w:rsidR="00FD304A" w:rsidRPr="000D4FBE" w:rsidRDefault="000D4FBE" w:rsidP="00FD304A">
      <w:pPr>
        <w:pStyle w:val="NormalWeb"/>
        <w:tabs>
          <w:tab w:val="left" w:pos="426"/>
        </w:tabs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Art. 3º </w:t>
      </w:r>
      <w:r w:rsidR="00FD304A" w:rsidRPr="000D4FBE">
        <w:rPr>
          <w:rFonts w:ascii="Times New Roman" w:hAnsi="Times New Roman" w:cs="Times New Roman"/>
          <w:color w:val="auto"/>
          <w:sz w:val="24"/>
          <w:szCs w:val="24"/>
        </w:rPr>
        <w:t>A presente Resolução será aplicada no território dos Estados Partes, ao comércio entre eles e às importações extrazona.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s-MX"/>
        </w:rPr>
        <w:t>Argentina: Administración Nacional de Medicamentos, Alimentos y Tecnología Médica (ANMAT) - Ministerio de Salud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Brasil: Agência Nacional de Vigilância Sanitária (ANVISA)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lastRenderedPageBreak/>
        <w:t>Paraguai: Dirección Nacional de Vigilancia Sanitaria del Ministerio de Salud Pública y Bienestar Social (MSPyBS)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Uruguai: Ministerio de Salud Pública (MSP)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Art. 4º A presente Resolução será aplicada no território dos Estados Partes, ao comércio entre eles e às importações extrazona.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Art. 5º Esta Resolução deverá ser incorporada ao ordenamento jurídico dos Estados Partes antes de 01/I/2012.</w:t>
      </w:r>
    </w:p>
    <w:p w:rsidR="00FD304A" w:rsidRPr="000D4FBE" w:rsidRDefault="00FD304A" w:rsidP="000D4FBE">
      <w:pPr>
        <w:pStyle w:val="NormalWeb"/>
        <w:tabs>
          <w:tab w:val="left" w:pos="426"/>
        </w:tabs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LXXXIV GMC – Assunção, 17/VI/11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ADENDO II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b/>
          <w:color w:val="auto"/>
          <w:sz w:val="24"/>
          <w:szCs w:val="24"/>
        </w:rPr>
        <w:t>REGULAMENTO TÉCNICO MERCOSUL SOBRE PROTETORES SOLARES EM COSMÉTICOS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1) OBJETIVO: 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O presente Regulamento Técnico tem por objetivo: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a) Estabelecer as definições, os requisitos técnicos, os critérios de rotulagem e os métodos de avaliação de eficácia relacionados a produtos protetores solares e produtos multifuncionais e,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b) Assegurar a eficácia dos protetores solares garantindo um elevado nível de proteção da saúde pública e estabelecer critérios de rotulagem simples e compreensíveis para orientar o consumidor na escolha do produto adequado.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2) CAMPO DE APLICAÇÃO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Este Regulamento Técnico se aplica aos produtos cosméticos destinados à proteção solar da pele e aos produtos multifuncionais.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3) DEFINIÇÕES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Para os fins do presente Regulamento Técnico, entende-se por: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3.1. Protetor Solar: qualquer preparação cosmética destinada a entrar em contato com a pele e lábios, com a finalidade exclusiva ou principal de protegê-la contra a radiação UVB e UVA, absorvendo, dispersando ou refletindo a radiação.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3.2. Produtos Multifuncionais: qualquer preparação cosmética destinada a entrar em contato com a pele e lábios, cujo benefício de proteção contra a radiação UV não é a finalidade principal, mas um benefício adicional do produto.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3.3. Radiação Ultravioleta: entende-se por radiação ultravioleta a região do espectro eletromagnético emitido pelo sol compreendida entre os comprimentos de ondas de </w:t>
      </w:r>
      <w:smartTag w:uri="urn:schemas-microsoft-com:office:smarttags" w:element="metricconverter">
        <w:smartTagPr>
          <w:attr w:name="ProductID" w:val="200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200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400 nanômetros.(1 nanômetro = 1nm =10-</w:t>
      </w:r>
      <w:smartTag w:uri="urn:schemas-microsoft-com:office:smarttags" w:element="metricconverter">
        <w:smartTagPr>
          <w:attr w:name="ProductID" w:val="9 m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9 m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>). Esta região está conceitualmente dividida em 3 faixas:</w:t>
      </w:r>
    </w:p>
    <w:p w:rsidR="00FD304A" w:rsidRPr="000D4FBE" w:rsidRDefault="00FD304A" w:rsidP="000D4FBE">
      <w:pPr>
        <w:pStyle w:val="msolistparagraph0"/>
        <w:spacing w:before="0" w:after="0"/>
        <w:ind w:left="150" w:firstLine="558"/>
        <w:jc w:val="both"/>
        <w:divId w:val="242034483"/>
      </w:pPr>
      <w:r w:rsidRPr="000D4FBE">
        <w:t xml:space="preserve">a) Ultravioleta C (UV-C): de </w:t>
      </w:r>
      <w:smartTag w:uri="urn:schemas-microsoft-com:office:smarttags" w:element="metricconverter">
        <w:smartTagPr>
          <w:attr w:name="ProductID" w:val="200 a"/>
        </w:smartTagPr>
        <w:r w:rsidRPr="000D4FBE">
          <w:t>200 a</w:t>
        </w:r>
      </w:smartTag>
      <w:r w:rsidRPr="000D4FBE">
        <w:t xml:space="preserve"> 290 nm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ind w:left="300" w:firstLine="408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b) Ultravioleta B (UV-B): de </w:t>
      </w:r>
      <w:smartTag w:uri="urn:schemas-microsoft-com:office:smarttags" w:element="metricconverter">
        <w:smartTagPr>
          <w:attr w:name="ProductID" w:val="290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290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320 nm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ind w:left="300" w:firstLine="408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c) Ultravioleta A (UV-A): de </w:t>
      </w:r>
      <w:smartTag w:uri="urn:schemas-microsoft-com:office:smarttags" w:element="metricconverter">
        <w:smartTagPr>
          <w:attr w:name="ProductID" w:val="320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320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400 nm, sendo: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ind w:left="291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c. 1) Radiação UVA I: </w:t>
      </w:r>
      <w:smartTag w:uri="urn:schemas-microsoft-com:office:smarttags" w:element="metricconverter">
        <w:smartTagPr>
          <w:attr w:name="ProductID" w:val="340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340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400 nanômetros</w:t>
      </w:r>
    </w:p>
    <w:p w:rsidR="00FD304A" w:rsidRPr="000D4FBE" w:rsidRDefault="000D4FBE" w:rsidP="000D4FBE">
      <w:pPr>
        <w:pStyle w:val="NormalWeb"/>
        <w:spacing w:before="0" w:beforeAutospacing="0" w:after="0" w:afterAutospacing="0"/>
        <w:ind w:left="441" w:firstLine="276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FD304A"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c. 2) Radiação UVA II: </w:t>
      </w:r>
      <w:smartTag w:uri="urn:schemas-microsoft-com:office:smarttags" w:element="metricconverter">
        <w:smartTagPr>
          <w:attr w:name="ProductID" w:val="320 a"/>
        </w:smartTagPr>
        <w:r w:rsidR="00FD304A" w:rsidRPr="000D4FBE">
          <w:rPr>
            <w:rFonts w:ascii="Times New Roman" w:hAnsi="Times New Roman" w:cs="Times New Roman"/>
            <w:color w:val="auto"/>
            <w:sz w:val="24"/>
            <w:szCs w:val="24"/>
          </w:rPr>
          <w:t>320 a</w:t>
        </w:r>
      </w:smartTag>
      <w:r w:rsidR="00FD304A"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340 nanômetros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3.4. Dose Mínima Eritematosa (DME): dose mínima de radiação ultravioleta requerida para produzir a primeira reação eritematosa perceptível com bordas claramente definidas, observadas entre 16 e 24 horas após a exposição à radiação ultravioleta, de acordo com a metodologia adotada.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3.5. Dose Mínima Pigmentária (DMP): dose mínima de radiação UVA requerida para produzir um escurecimento pigmentário persistente da pele com bordas claramente definidas, observado entre 2 e 4 horas após a exposição à radiação UVA.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3.6. Fator de Proteção Solar (FPS): valor obtido pela razão entre a dose mínima eritematosa em uma pele protegida por um protetor solar (DMEp) e a dose mínima eritematosa na mesma pele quando desprotegida (DMEnp).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FPS= </w:t>
      </w:r>
      <w:r w:rsidRPr="000D4FBE">
        <w:rPr>
          <w:rFonts w:ascii="Times New Roman" w:hAnsi="Times New Roman" w:cs="Times New Roman"/>
          <w:color w:val="auto"/>
          <w:sz w:val="24"/>
          <w:szCs w:val="24"/>
          <w:u w:val="single"/>
        </w:rPr>
        <w:t>DMEp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         DMEnp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3.7. Fator de Proteção UVA (FPUVA): valor obtido pela razão entre a dose mínima pigmentária em uma pele protegida por um protetor solar (DMPp) e a dose mínima pigmentária na mesma pele, quando desprotegida (DMPnp).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FPUVA=  </w:t>
      </w:r>
      <w:r w:rsidRPr="000D4FBE">
        <w:rPr>
          <w:rFonts w:ascii="Times New Roman" w:hAnsi="Times New Roman" w:cs="Times New Roman"/>
          <w:color w:val="auto"/>
          <w:sz w:val="24"/>
          <w:szCs w:val="24"/>
          <w:u w:val="single"/>
        </w:rPr>
        <w:t>DMPp</w:t>
      </w:r>
    </w:p>
    <w:p w:rsidR="00FD304A" w:rsidRPr="000D4FBE" w:rsidRDefault="00FD304A" w:rsidP="00FD304A">
      <w:pPr>
        <w:pStyle w:val="NormalWeb"/>
        <w:jc w:val="center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               DMPnp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3.8. COMPRIMENTO DE ONDA CRÍTICO: o comprimento de onda para o qual a área sob a curva integrada de densidade ótica que começa em 290 nanômetros é igual a 90% da área integrada entre 290 e 400 nanômetros.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4) METODOLOGIAS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4.1. A determinação do Fator de Proteção Solar (FPS) deve ser realizada seguindo unicamente métodos in vivo, aplicando estritamente uma das seguintes referências ou suas atualizações: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A) FDA, Department of Health and Human Services, Sunscreen drug products for over-the-counter human use. Final Monograph: Proposed Rule, 21 CFR Part 352 et al, 1999.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B) COLIPA/JCIA/CTFA-SA. International Sun Protection Factor (SPF) Test Method, 2006.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4.2. A determinação da resistência à água deve ser realizada aplicando estritamente uma das seguintes referências ou suas atualizações: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A) Para o caso dos produtos com FPS testados de acordo com a metodologia FDA: FDA, Department of Health and Human Services, Sunscreen drug products for over-the-counter human use. Final Monograph: Proposed Rule, 21 CFR Part 352 et al, 1999.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B) Para o caso dos produtos com FPS testados de acordo com a metodologia COLIPA: COLIPA Guideline for evaluating sun product water resistance, 2005.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4.3. A determinação do nível da proteção UVA (FPUVA) deve ser realizada conforme uma das seguintes metodologias ou suas atualizações: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A) Método in vivo: European Commission – Standardization Mandate Assigned to CEN Concerning Methods for Testing Efficacy of Sunscreen Products -2006 Annex 2 - Determination of the UVA protection factor based on the principles recommended by the Japanese Cosmetic Industry Association (PPD method published 15.11.1995).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B) COLIPA Guideline. In Vitro Method for the Determination of the UVA Protection Factor and "Critical Wavelength" Values of Sunscreen Products, 2009.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4.4. A amplitude da proteção UV deve ser avaliada através do comprimento de onda crítico a ser determinado conforme a metodologia mencionada no ítem 4.3. B.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5) ROTULAGEM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5.1. Na rotulagem principal (primária e secundária) do produto para proteção solar é obrigatório indicar de forma destacada o número inteiro de proteção solar precedido da sigla "FPS", ou das palavras "Fator de Proteção Solar".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5.1.1. O número correspondente ao FPS deve ser determinado de acordo com uma das metodologias estabelecidas neste Regulamento.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5.2. Deve constar da embalagem a Denominação de Categoria de Proteção (DCP) informada na Tabela 1.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Tabela 1. Designação de Categoria de Proteção (DCP) relativa à proteção oferecida pelo produto contra radiação UVB e UVA para a rotulagem dos Protetores Solares.</w:t>
      </w:r>
    </w:p>
    <w:tbl>
      <w:tblPr>
        <w:tblW w:w="6804" w:type="dxa"/>
        <w:jc w:val="center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3"/>
        <w:gridCol w:w="1451"/>
        <w:gridCol w:w="1022"/>
        <w:gridCol w:w="1064"/>
        <w:gridCol w:w="1434"/>
      </w:tblGrid>
      <w:tr w:rsidR="00FD304A" w:rsidRPr="000D4FBE" w:rsidTr="000D4FBE">
        <w:trPr>
          <w:divId w:val="242034483"/>
          <w:tblCellSpacing w:w="22" w:type="dxa"/>
          <w:jc w:val="center"/>
        </w:trPr>
        <w:tc>
          <w:tcPr>
            <w:tcW w:w="1773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Indicações adicionais não obrigatórias na rotulagem</w:t>
            </w:r>
          </w:p>
        </w:tc>
        <w:tc>
          <w:tcPr>
            <w:tcW w:w="1396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Categoria indicada no rótulo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(DCP)</w:t>
            </w:r>
          </w:p>
        </w:tc>
        <w:tc>
          <w:tcPr>
            <w:tcW w:w="982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Fator de proteção solar medido</w:t>
            </w:r>
            <w:r w:rsidRPr="000D4FB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br/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(FPS)</w:t>
            </w:r>
          </w:p>
        </w:tc>
        <w:tc>
          <w:tcPr>
            <w:tcW w:w="1021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Fator mínimo de proteção UVA (FPUVA)</w:t>
            </w:r>
          </w:p>
        </w:tc>
        <w:tc>
          <w:tcPr>
            <w:tcW w:w="1368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Comprimento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de onda crítico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  <w:t>mínimo</w:t>
            </w:r>
          </w:p>
        </w:tc>
      </w:tr>
      <w:tr w:rsidR="00FD304A" w:rsidRPr="000D4FBE" w:rsidTr="000D4FBE">
        <w:trPr>
          <w:divId w:val="242034483"/>
          <w:tblCellSpacing w:w="22" w:type="dxa"/>
          <w:jc w:val="center"/>
        </w:trPr>
        <w:tc>
          <w:tcPr>
            <w:tcW w:w="1773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«Pele pouco sensível a queimadura solar»</w:t>
            </w:r>
          </w:p>
        </w:tc>
        <w:tc>
          <w:tcPr>
            <w:tcW w:w="1396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«BAIXA PROTEÇÃO»</w:t>
            </w:r>
          </w:p>
        </w:tc>
        <w:tc>
          <w:tcPr>
            <w:tcW w:w="982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6,0 - 14,9</w:t>
            </w:r>
          </w:p>
        </w:tc>
        <w:tc>
          <w:tcPr>
            <w:tcW w:w="1021" w:type="dxa"/>
            <w:vMerge w:val="restart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1/3 do fator de proteção solar indica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softHyphen/>
              <w:t>do na rotulagem</w:t>
            </w:r>
          </w:p>
        </w:tc>
        <w:tc>
          <w:tcPr>
            <w:tcW w:w="1368" w:type="dxa"/>
            <w:vMerge w:val="restart"/>
            <w:vAlign w:val="center"/>
          </w:tcPr>
          <w:p w:rsidR="00FD304A" w:rsidRPr="000D4FBE" w:rsidRDefault="00FD304A" w:rsidP="000D4FBE">
            <w:pPr>
              <w:pStyle w:val="NormalWeb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370 nm</w:t>
            </w:r>
          </w:p>
        </w:tc>
      </w:tr>
      <w:tr w:rsidR="00FD304A" w:rsidRPr="000D4FBE" w:rsidTr="000D4FBE">
        <w:trPr>
          <w:divId w:val="242034483"/>
          <w:tblCellSpacing w:w="22" w:type="dxa"/>
          <w:jc w:val="center"/>
        </w:trPr>
        <w:tc>
          <w:tcPr>
            <w:tcW w:w="1773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«Pele moderadamente sensível a queimadura solar»</w:t>
            </w:r>
          </w:p>
        </w:tc>
        <w:tc>
          <w:tcPr>
            <w:tcW w:w="1396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«MÉDIA PROTEÇÃO»</w:t>
            </w:r>
          </w:p>
        </w:tc>
        <w:tc>
          <w:tcPr>
            <w:tcW w:w="982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15,0-29,9</w:t>
            </w:r>
          </w:p>
        </w:tc>
        <w:tc>
          <w:tcPr>
            <w:tcW w:w="1021" w:type="dxa"/>
            <w:vMerge/>
            <w:vAlign w:val="center"/>
          </w:tcPr>
          <w:p w:rsidR="00FD304A" w:rsidRPr="000D4FBE" w:rsidRDefault="00FD304A" w:rsidP="000D4FBE"/>
        </w:tc>
        <w:tc>
          <w:tcPr>
            <w:tcW w:w="1368" w:type="dxa"/>
            <w:vMerge/>
            <w:vAlign w:val="center"/>
          </w:tcPr>
          <w:p w:rsidR="00FD304A" w:rsidRPr="000D4FBE" w:rsidRDefault="00FD304A" w:rsidP="000D4FBE"/>
        </w:tc>
      </w:tr>
      <w:tr w:rsidR="00FD304A" w:rsidRPr="000D4FBE" w:rsidTr="000D4FBE">
        <w:trPr>
          <w:divId w:val="242034483"/>
          <w:tblCellSpacing w:w="22" w:type="dxa"/>
          <w:jc w:val="center"/>
        </w:trPr>
        <w:tc>
          <w:tcPr>
            <w:tcW w:w="1773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«Pele muito sensível a queimadura solar»</w:t>
            </w:r>
          </w:p>
        </w:tc>
        <w:tc>
          <w:tcPr>
            <w:tcW w:w="1396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«ALTA PROTEÇÃO »</w:t>
            </w:r>
          </w:p>
        </w:tc>
        <w:tc>
          <w:tcPr>
            <w:tcW w:w="982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30,0–50,0</w:t>
            </w:r>
          </w:p>
        </w:tc>
        <w:tc>
          <w:tcPr>
            <w:tcW w:w="1021" w:type="dxa"/>
            <w:vMerge/>
            <w:vAlign w:val="center"/>
          </w:tcPr>
          <w:p w:rsidR="00FD304A" w:rsidRPr="000D4FBE" w:rsidRDefault="00FD304A" w:rsidP="000D4FBE"/>
        </w:tc>
        <w:tc>
          <w:tcPr>
            <w:tcW w:w="1368" w:type="dxa"/>
            <w:vMerge/>
            <w:vAlign w:val="center"/>
          </w:tcPr>
          <w:p w:rsidR="00FD304A" w:rsidRPr="000D4FBE" w:rsidRDefault="00FD304A" w:rsidP="000D4FBE"/>
        </w:tc>
      </w:tr>
      <w:tr w:rsidR="00FD304A" w:rsidRPr="000D4FBE" w:rsidTr="000D4FBE">
        <w:trPr>
          <w:divId w:val="242034483"/>
          <w:tblCellSpacing w:w="22" w:type="dxa"/>
          <w:jc w:val="center"/>
        </w:trPr>
        <w:tc>
          <w:tcPr>
            <w:tcW w:w="1773" w:type="dxa"/>
            <w:vAlign w:val="center"/>
          </w:tcPr>
          <w:p w:rsidR="00FD304A" w:rsidRPr="000D4FBE" w:rsidRDefault="00FD304A" w:rsidP="000D4FBE">
            <w:pPr>
              <w:pStyle w:val="NormalWeb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«Pele extremamente sensível a queimadura solar»</w:t>
            </w:r>
          </w:p>
        </w:tc>
        <w:tc>
          <w:tcPr>
            <w:tcW w:w="1396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«PROTEÇÃO MUITO ALTA »</w:t>
            </w:r>
          </w:p>
        </w:tc>
        <w:tc>
          <w:tcPr>
            <w:tcW w:w="982" w:type="dxa"/>
            <w:vAlign w:val="center"/>
          </w:tcPr>
          <w:p w:rsidR="00FD304A" w:rsidRPr="000D4FBE" w:rsidRDefault="00FD304A" w:rsidP="000D4FBE">
            <w:pPr>
              <w:pStyle w:val="NormalWeb"/>
              <w:ind w:firstLine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Maior que</w:t>
            </w:r>
            <w:r w:rsidRPr="000D4FB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50,0</w:t>
            </w:r>
            <w:r w:rsidRPr="000D4FBE">
              <w:rPr>
                <w:rFonts w:ascii="Times New Roman" w:hAnsi="Times New Roman" w:cs="Times New Roman"/>
                <w:strike/>
                <w:color w:val="auto"/>
                <w:sz w:val="24"/>
                <w:szCs w:val="24"/>
              </w:rPr>
              <w:t xml:space="preserve"> </w:t>
            </w:r>
            <w:r w:rsidRPr="000D4F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 menor que 100</w:t>
            </w:r>
          </w:p>
        </w:tc>
        <w:tc>
          <w:tcPr>
            <w:tcW w:w="1021" w:type="dxa"/>
            <w:vAlign w:val="center"/>
          </w:tcPr>
          <w:p w:rsidR="00FD304A" w:rsidRPr="000D4FBE" w:rsidRDefault="00FD304A" w:rsidP="000D4FBE"/>
        </w:tc>
        <w:tc>
          <w:tcPr>
            <w:tcW w:w="1368" w:type="dxa"/>
            <w:vAlign w:val="center"/>
          </w:tcPr>
          <w:p w:rsidR="00FD304A" w:rsidRPr="000D4FBE" w:rsidRDefault="00FD304A" w:rsidP="000D4FBE"/>
        </w:tc>
      </w:tr>
    </w:tbl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5.2.1 Atendendo ao estabelecido na Tabela 1, os protetores solares devem cumprir com os seguintes requisitos: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a) FPS de no mínimo 6;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b) FPUVA cujo valor corresponda a, no mínimo, 1/3 do valor do FPS declarado na rotulagem;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c) Comprimento de onda crítico mínimo de 370 nm.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5.3. Os protetores solares poderão indicar em seu rótulo "Resistente à água"; " Muito Resistente à água", "Resistente à Água/suor" ou "Resistente à Água/transpiração", sempre e quando tais alegações tenham sido adequadamente comprovadas conforme a metodologia indicada neste Regulamento (item 4.2).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5.4. Os protetores solares não devem possuir alegações de rotulagem que impliquem as seguintes características: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a) 100 % de proteção contra a radiação UV ou efeito antissolar.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b) A possibilidade de não reaplicar o produto em quaisquer circunstâncias.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c) Denominações que induzam a uma proteção total ou bloqueio da radiação solar.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5.5. A rotulagem dos protetores solares deverá conter as seguintes advertências e instruções de uso: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a) "É necessária a reaplicação do produto para manter a sua efetividade";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b) "Ajuda a prevenir as queimaduras solares";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c) "Para crianças menores de 6 (seis) meses, consultar um médico";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d) "Este produto não oferece nenhuma proteção contra insolação";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e) "Evite exposição prolongada das crianças ao sol";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f) "Aplique abundantemente antes da exposição ao sol”: Caso haja um tempo determinado pelo fabricante ou período de espera (antes da exposição), este também deverá constar da rotulagem.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g) "Reaplicar sempre, após sudorese intensa, nadar ou banhar-se, secar-se com toalha e durante a exposição ao sol". Caso haja um tempo determinado pelo fabricante para reaplicação, este também deverá constar da rotulagem.</w:t>
      </w:r>
    </w:p>
    <w:p w:rsidR="00FD304A" w:rsidRPr="000D4FBE" w:rsidRDefault="00FD304A" w:rsidP="000D4FBE">
      <w:pPr>
        <w:pStyle w:val="NormalWeb"/>
        <w:spacing w:before="0" w:beforeAutospacing="0" w:after="0" w:afterAutospacing="0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h) "Se a quantidade aplicada não for adequada, o nível de proteção será significativamente reduzido".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6) PRODUTOS MULTIFUNCIONAIS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6.1. Os produtos de Higiene Pessoal, Cosméticos e Perfumes que contenham filtros solares unicamente para proteção de sua formulação e que não proclamem atividade como protetor solar e nem mencionem um valor de FPS, não necessitam adequar-se a este Regulamento.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6.2. Os produtos multifuncionais de Higiene Pessoal, Cosméticos e Perfumes que se enquadram na definição estabelecida no item 3.2 que contenham dizeres quanto à presença de ingredientes de ação filtrante da radiação UV na pele ou um valor de FPS e/ou nível de proteção UVA deverão comprovar o declarado por meio de uma das metodologias estabelecidas. O valor de FPS mínimo comprovado não deverá ser menor que FPS 2 e a proteção UVA mínima deverá ser FPUVA 2.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smartTag w:uri="urn:schemas-microsoft-com:office:smarttags" w:element="metricconverter">
        <w:smartTagPr>
          <w:attr w:name="ProductID" w:val="6.3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6.3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rotulagem dos produtos multifuncionais deverá conter a seguinte advertência: “Este produto não é um protetor solar”. 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</w:rPr>
        <w:t>7) RECOMENDAÇÕES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</w:rPr>
      </w:pPr>
      <w:smartTag w:uri="urn:schemas-microsoft-com:office:smarttags" w:element="metricconverter">
        <w:smartTagPr>
          <w:attr w:name="ProductID" w:val="7.1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</w:rPr>
          <w:t>7.1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</w:rPr>
        <w:t xml:space="preserve"> atualização do presente regulamento deve acompanhar os avanços das regulamentações e referências internacionais.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8) REFERÊNCIAS BIBLIOGRÁFICAS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8.1 - (</w:t>
      </w:r>
      <w:smartTag w:uri="urn:schemas-microsoft-com:office:smarttags" w:element="metricconverter">
        <w:smartTagPr>
          <w:attr w:name="ProductID" w:val="4.1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  <w:lang w:val="en-US"/>
          </w:rPr>
          <w:t>4.1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) (</w:t>
      </w:r>
      <w:smartTag w:uri="urn:schemas-microsoft-com:office:smarttags" w:element="metricconverter">
        <w:smartTagPr>
          <w:attr w:name="ProductID" w:val="4.2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  <w:lang w:val="en-US"/>
          </w:rPr>
          <w:t>4.2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) - FDA, Department of Health and Human Services, Sunscreen drug products for over-the-counter human use. Final Monograph: Proposed Rule, 21 CFR Part 352 et al, 1999.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8.2 - (4.1 b) - COLIPA/JCIA/CTFA-SA. International Sun Protection Factor (SPF) Test Method, 2006.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8.3 - (4.2.b) - COLIPA Guideline for evaluating sun product water resistance, 2005.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8.4 - (</w:t>
      </w:r>
      <w:smartTag w:uri="urn:schemas-microsoft-com:office:smarttags" w:element="metricconverter">
        <w:smartTagPr>
          <w:attr w:name="ProductID" w:val="4.3 a"/>
        </w:smartTagPr>
        <w:r w:rsidRPr="000D4FBE">
          <w:rPr>
            <w:rFonts w:ascii="Times New Roman" w:hAnsi="Times New Roman" w:cs="Times New Roman"/>
            <w:color w:val="auto"/>
            <w:sz w:val="24"/>
            <w:szCs w:val="24"/>
            <w:lang w:val="en-US"/>
          </w:rPr>
          <w:t>4.3 a</w:t>
        </w:r>
      </w:smartTag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) - European Commission - Standardization Mandate Assigned to CEN Concerning Methods for Testing Efficacy of Sunscreen Products - Annex 2 - Determination of the UVA protection factor based on the principles recommended by the Japanese Cosmetic Industry Association (PPD method published 15.11.1995).</w:t>
      </w:r>
    </w:p>
    <w:p w:rsidR="00FD304A" w:rsidRPr="000D4FBE" w:rsidRDefault="00FD304A" w:rsidP="00FD304A">
      <w:pPr>
        <w:pStyle w:val="NormalWeb"/>
        <w:divId w:val="242034483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D4FBE">
        <w:rPr>
          <w:rFonts w:ascii="Times New Roman" w:hAnsi="Times New Roman" w:cs="Times New Roman"/>
          <w:color w:val="auto"/>
          <w:sz w:val="24"/>
          <w:szCs w:val="24"/>
          <w:lang w:val="en-US"/>
        </w:rPr>
        <w:t>8.5 - (4.3 b e 4.4) - COLIPA Guideline. In Vitro Method for the Determination of the UVA Protection Factor and "Critical Wavelength" Values of Sunscreen Products, 2009.</w:t>
      </w:r>
    </w:p>
    <w:sectPr w:rsidR="00FD304A" w:rsidRPr="000D4FBE" w:rsidSect="003C42C4">
      <w:headerReference w:type="default" r:id="rId7"/>
      <w:footerReference w:type="default" r:id="rId8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DC" w:rsidRDefault="00EC33DC" w:rsidP="003C42C4">
      <w:pPr>
        <w:spacing w:before="0" w:after="0"/>
      </w:pPr>
      <w:r>
        <w:separator/>
      </w:r>
    </w:p>
  </w:endnote>
  <w:endnote w:type="continuationSeparator" w:id="0">
    <w:p w:rsidR="00EC33DC" w:rsidRDefault="00EC33DC" w:rsidP="003C42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C4" w:rsidRPr="003C42C4" w:rsidRDefault="003C42C4" w:rsidP="003C4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C42C4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3C42C4" w:rsidRDefault="003C42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DC" w:rsidRDefault="00EC33DC" w:rsidP="003C42C4">
      <w:pPr>
        <w:spacing w:before="0" w:after="0"/>
      </w:pPr>
      <w:r>
        <w:separator/>
      </w:r>
    </w:p>
  </w:footnote>
  <w:footnote w:type="continuationSeparator" w:id="0">
    <w:p w:rsidR="00EC33DC" w:rsidRDefault="00EC33DC" w:rsidP="003C42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C4" w:rsidRPr="00B517AC" w:rsidRDefault="00EC33DC" w:rsidP="003C4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EC33DC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42C4" w:rsidRPr="00B517AC" w:rsidRDefault="003C42C4" w:rsidP="003C4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C42C4" w:rsidRDefault="003C42C4" w:rsidP="003C4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B517AC">
      <w:rPr>
        <w:rFonts w:ascii="Calibri" w:hAnsi="Calibri"/>
        <w:b/>
      </w:rPr>
      <w:t xml:space="preserve"> ANVISA</w:t>
    </w:r>
  </w:p>
  <w:p w:rsidR="003C42C4" w:rsidRPr="003C42C4" w:rsidRDefault="003C42C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D4FBE"/>
    <w:rsid w:val="002043C5"/>
    <w:rsid w:val="00391360"/>
    <w:rsid w:val="0039365B"/>
    <w:rsid w:val="003C42C4"/>
    <w:rsid w:val="00652E8A"/>
    <w:rsid w:val="00702A48"/>
    <w:rsid w:val="00771958"/>
    <w:rsid w:val="00867B72"/>
    <w:rsid w:val="008B7BC0"/>
    <w:rsid w:val="008D770F"/>
    <w:rsid w:val="00963BF1"/>
    <w:rsid w:val="00A53197"/>
    <w:rsid w:val="00A533A1"/>
    <w:rsid w:val="00AF43E7"/>
    <w:rsid w:val="00B13D8C"/>
    <w:rsid w:val="00B517AC"/>
    <w:rsid w:val="00BC5F27"/>
    <w:rsid w:val="00BE676D"/>
    <w:rsid w:val="00C95A0B"/>
    <w:rsid w:val="00D221EC"/>
    <w:rsid w:val="00DA7818"/>
    <w:rsid w:val="00DF7C19"/>
    <w:rsid w:val="00EC33DC"/>
    <w:rsid w:val="00FD304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listparagraph0">
    <w:name w:val="msolistparagraph"/>
    <w:basedOn w:val="Normal"/>
    <w:rsid w:val="00FD304A"/>
    <w:pPr>
      <w:spacing w:before="200" w:beforeAutospacing="0" w:after="300" w:afterAutospacing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448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48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2129</Words>
  <Characters>11497</Characters>
  <Application>Microsoft Office Word</Application>
  <DocSecurity>0</DocSecurity>
  <Lines>95</Lines>
  <Paragraphs>27</Paragraphs>
  <ScaleCrop>false</ScaleCrop>
  <Company>ANVISA</Company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2016-12-15T14:51:00Z</cp:lastPrinted>
  <dcterms:created xsi:type="dcterms:W3CDTF">2018-08-16T18:37:00Z</dcterms:created>
  <dcterms:modified xsi:type="dcterms:W3CDTF">2018-08-16T18:37:00Z</dcterms:modified>
</cp:coreProperties>
</file>