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D5F11">
      <w:pPr>
        <w:ind w:firstLine="567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>Resolução da Diretoria Colegiada - RDC nº 31, de 5 de fevereiro de 2002.</w:t>
      </w:r>
    </w:p>
    <w:p w:rsidR="00000000" w:rsidRDefault="00FD5F11">
      <w:pPr>
        <w:ind w:firstLine="567"/>
        <w:rPr>
          <w:rFonts w:ascii="Arial" w:hAnsi="Arial" w:cs="Arial"/>
        </w:rPr>
      </w:pPr>
    </w:p>
    <w:p w:rsidR="00000000" w:rsidRDefault="00FD5F11">
      <w:pPr>
        <w:ind w:firstLine="567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 Diretoria Colegiada da Agência Nacional de Vigilância Sanitária, </w:t>
      </w:r>
      <w:r>
        <w:rPr>
          <w:rFonts w:ascii="Arial" w:hAnsi="Arial" w:cs="Arial"/>
        </w:rPr>
        <w:t>no uso da atribuição que lhe confere o art. 11, inciso IV, do Regulamento da ANVISA aprovado pelo Decreto nº 3.029, de 16 de abril de 1999, em reunião realizada em 30 de janeiro de 2002,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o disposto nos arts. 6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da Lei n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6.360, de 23 de janeiro de 1976; 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o disposto na Resolução RE nº 552, de 20 de abril de 2001, e a necessidade de ampliar o alcance de suas disposições,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adotou a seguint</w:t>
      </w:r>
      <w:r>
        <w:rPr>
          <w:rFonts w:ascii="Arial" w:hAnsi="Arial" w:cs="Arial"/>
        </w:rPr>
        <w:t xml:space="preserve">e Resolução de Diretoria Colegiada, e eu, Diretor-Presidente, determino a sua publicação. 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Art.1º Ampliar a proibição contida no art. 1º da RE nº 552, de 20 de abril de 2001, a </w:t>
      </w:r>
      <w:r>
        <w:rPr>
          <w:rFonts w:ascii="Arial" w:hAnsi="Arial" w:cs="Arial"/>
          <w:b/>
          <w:bCs/>
        </w:rPr>
        <w:t>todas as formas farmacêuticas de medicamentos anti-sépticos de uso tópico indi</w:t>
      </w:r>
      <w:r>
        <w:rPr>
          <w:rFonts w:ascii="Arial" w:hAnsi="Arial" w:cs="Arial"/>
          <w:b/>
          <w:bCs/>
        </w:rPr>
        <w:t>cados para uso infantil.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2º Determinar que os medicamentos de </w:t>
      </w:r>
      <w:r>
        <w:rPr>
          <w:rFonts w:ascii="Arial" w:hAnsi="Arial" w:cs="Arial"/>
          <w:b/>
          <w:bCs/>
        </w:rPr>
        <w:t>uso exclusivo em adulto</w:t>
      </w:r>
      <w:r>
        <w:rPr>
          <w:rFonts w:ascii="Arial" w:hAnsi="Arial" w:cs="Arial"/>
        </w:rPr>
        <w:t xml:space="preserve"> que contenham acido bórico e seus derivados apresentem concentração não superior a: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I –  3% para produtos de uso tópico;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II –  0.1% para produtos de aplicação buc</w:t>
      </w:r>
      <w:r>
        <w:rPr>
          <w:rFonts w:ascii="Arial" w:hAnsi="Arial" w:cs="Arial"/>
        </w:rPr>
        <w:t>al;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III – 2% em preparações oftálmicas.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</w:rPr>
        <w:t xml:space="preserve">§ 1º Os produtos destinados ao </w:t>
      </w:r>
      <w:r>
        <w:rPr>
          <w:rFonts w:ascii="Arial" w:hAnsi="Arial" w:cs="Arial"/>
          <w:b/>
          <w:bCs/>
        </w:rPr>
        <w:t>uso adulto</w:t>
      </w:r>
      <w:r>
        <w:rPr>
          <w:rFonts w:ascii="Arial" w:hAnsi="Arial" w:cs="Arial"/>
        </w:rPr>
        <w:t xml:space="preserve"> devem apresentar em suas rotulagens, bulas, impressos em etiquetas e prospectos, </w:t>
      </w:r>
      <w:r>
        <w:rPr>
          <w:rFonts w:ascii="Arial" w:hAnsi="Arial" w:cs="Arial"/>
          <w:snapToGrid w:val="0"/>
        </w:rPr>
        <w:t xml:space="preserve">as seguintes advertências </w:t>
      </w:r>
      <w:r>
        <w:rPr>
          <w:rFonts w:ascii="Arial" w:hAnsi="Arial" w:cs="Arial"/>
        </w:rPr>
        <w:t xml:space="preserve">com as </w:t>
      </w:r>
      <w:r>
        <w:rPr>
          <w:rFonts w:ascii="Arial" w:hAnsi="Arial" w:cs="Arial"/>
          <w:b/>
          <w:bCs/>
        </w:rPr>
        <w:t>dimensões de fácil leitura</w:t>
      </w:r>
      <w:r>
        <w:rPr>
          <w:rFonts w:ascii="Arial" w:hAnsi="Arial" w:cs="Arial"/>
        </w:rPr>
        <w:t>, em destaque:</w:t>
      </w:r>
      <w:r>
        <w:rPr>
          <w:rFonts w:ascii="Arial" w:hAnsi="Arial" w:cs="Arial"/>
          <w:snapToGrid w:val="0"/>
        </w:rPr>
        <w:t xml:space="preserve"> </w:t>
      </w:r>
    </w:p>
    <w:p w:rsidR="00000000" w:rsidRDefault="00FD5F11">
      <w:pPr>
        <w:ind w:firstLine="567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I – “Não poderá </w:t>
      </w:r>
      <w:r>
        <w:rPr>
          <w:rFonts w:ascii="Arial" w:hAnsi="Arial" w:cs="Arial"/>
          <w:snapToGrid w:val="0"/>
        </w:rPr>
        <w:t xml:space="preserve">ser aplicado em grandes áreas do corpo, quando existirem lesões de qualquer tipo, feridas ou queimaduras.” </w:t>
      </w:r>
    </w:p>
    <w:p w:rsidR="00000000" w:rsidRDefault="00FD5F11">
      <w:pPr>
        <w:ind w:firstLine="567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II – “Produto de uso exclusivo em adultos. O uso em crianças representa risco à saúde.”.</w:t>
      </w:r>
    </w:p>
    <w:p w:rsidR="00000000" w:rsidRDefault="00FD5F11">
      <w:pPr>
        <w:ind w:firstLine="567"/>
        <w:jc w:val="both"/>
        <w:rPr>
          <w:rFonts w:ascii="Arial" w:hAnsi="Arial" w:cs="Arial"/>
          <w:snapToGrid w:val="0"/>
        </w:rPr>
      </w:pPr>
    </w:p>
    <w:p w:rsidR="00000000" w:rsidRDefault="00FD5F11">
      <w:pPr>
        <w:ind w:firstLine="567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§ 2º </w:t>
      </w:r>
      <w:r>
        <w:rPr>
          <w:rFonts w:ascii="Arial" w:hAnsi="Arial" w:cs="Arial"/>
        </w:rPr>
        <w:t>As empresas detentoras de registro dos medicamentos d</w:t>
      </w:r>
      <w:r>
        <w:rPr>
          <w:rFonts w:ascii="Arial" w:hAnsi="Arial" w:cs="Arial"/>
        </w:rPr>
        <w:t>e que trata o caput</w:t>
      </w:r>
      <w:r>
        <w:rPr>
          <w:rFonts w:ascii="Arial" w:hAnsi="Arial" w:cs="Arial"/>
          <w:snapToGrid w:val="0"/>
        </w:rPr>
        <w:t xml:space="preserve"> deste artigo terão o prazo de 120 (cento e vinte) dias para atender às determinações nele contidas.</w:t>
      </w:r>
    </w:p>
    <w:p w:rsidR="00000000" w:rsidRDefault="00FD5F11">
      <w:pPr>
        <w:ind w:firstLine="567"/>
        <w:jc w:val="both"/>
        <w:rPr>
          <w:rFonts w:ascii="Arial" w:hAnsi="Arial" w:cs="Arial"/>
          <w:snapToGrid w:val="0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3º As empresas detentoras de registro dos medicamentos de que trata a Resolução RE 552, de 20 de abril de 2001, que tiverem intere</w:t>
      </w:r>
      <w:r>
        <w:rPr>
          <w:rFonts w:ascii="Arial" w:hAnsi="Arial" w:cs="Arial"/>
        </w:rPr>
        <w:t>sse em modificar a fórmula, conforme descrito no art. 2º da citada Resolução, devem fazer constar em suas embalagens com todas as letras maiúsculas, em destaque e negrito, “NOVA FÓRMULA”.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4º A inobservância dos preceitos contidos nesta Resoluçã</w:t>
      </w:r>
      <w:r>
        <w:rPr>
          <w:rFonts w:ascii="Arial" w:hAnsi="Arial" w:cs="Arial"/>
        </w:rPr>
        <w:t xml:space="preserve">o configura infração sanitária, ficando o infrator sujeito às penalidades previstas na legislação vigente. 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 5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Os produtos cosméticos e de higiene pessoal, que contêm ácido bórico deverão atender à legislação específica (</w:t>
      </w:r>
      <w:r>
        <w:rPr>
          <w:rFonts w:ascii="Arial" w:hAnsi="Arial" w:cs="Arial"/>
        </w:rPr>
        <w:t>Resolução 79/00 e suas atualizações), considerando a definição de produtos cosméticos.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Art. 6º Esta Resolução entra em vigor na data de sua publicação. </w:t>
      </w: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ind w:firstLine="567"/>
        <w:jc w:val="both"/>
        <w:rPr>
          <w:rFonts w:ascii="Arial" w:hAnsi="Arial" w:cs="Arial"/>
        </w:rPr>
      </w:pPr>
    </w:p>
    <w:p w:rsidR="00000000" w:rsidRDefault="00FD5F11">
      <w:pPr>
        <w:pStyle w:val="Ttulo1"/>
        <w:ind w:firstLine="567"/>
        <w:rPr>
          <w:i w:val="0"/>
          <w:iCs w:val="0"/>
        </w:rPr>
      </w:pPr>
      <w:r>
        <w:rPr>
          <w:i w:val="0"/>
          <w:iCs w:val="0"/>
        </w:rPr>
        <w:t>GONZALO VECINA NETO</w:t>
      </w:r>
    </w:p>
    <w:sectPr w:rsidR="00000000">
      <w:pgSz w:w="11907" w:h="16840" w:code="9"/>
      <w:pgMar w:top="1418" w:right="1134" w:bottom="1134" w:left="1134" w:header="709" w:footer="709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D5F11"/>
    <w:rsid w:val="00F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 w:cs="Arial"/>
      <w:i/>
      <w:i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2107</Characters>
  <Application>Microsoft Office Word</Application>
  <DocSecurity>0</DocSecurity>
  <Lines>17</Lines>
  <Paragraphs>4</Paragraphs>
  <ScaleCrop>false</ScaleCrop>
  <Company>ANVS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- RDC nº 31, de 5 de fevereiro de 2002</dc:title>
  <dc:subject/>
  <dc:creator>Andre.Chaia</dc:creator>
  <cp:keywords/>
  <dc:description/>
  <cp:lastModifiedBy>Julia de Souza Ferreira</cp:lastModifiedBy>
  <cp:revision>2</cp:revision>
  <cp:lastPrinted>2002-02-05T15:17:00Z</cp:lastPrinted>
  <dcterms:created xsi:type="dcterms:W3CDTF">2018-11-27T16:07:00Z</dcterms:created>
  <dcterms:modified xsi:type="dcterms:W3CDTF">2018-11-27T16:07:00Z</dcterms:modified>
</cp:coreProperties>
</file>