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E6" w:rsidRDefault="003769E6">
      <w:pPr>
        <w:ind w:firstLine="567"/>
        <w:jc w:val="both"/>
        <w:rPr>
          <w:sz w:val="16"/>
          <w:szCs w:val="16"/>
        </w:rPr>
      </w:pPr>
      <w:bookmarkStart w:id="0" w:name="_GoBack"/>
      <w:bookmarkEnd w:id="0"/>
      <w:r>
        <w:rPr>
          <w:sz w:val="16"/>
          <w:szCs w:val="16"/>
        </w:rPr>
        <w:t>##ATO Resolução da Diretoria Colegiada - RDC 326, de 12 de novembro de 2003.</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##TEX 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11 de novembro de 2003,</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considerando o registro de agrotóxicos, seus componentes e afins para uso em emergências quarentenárias, fitossanitárias, sanitárias e ambientais, de que trata o art. 18 de Decreto n° 4.074, de 4 de janeiro de 2002, publicado no DOU de 8 de janeiro de 2002;</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considerando as deliberações do Comitê Técnico de Assessoramento para Agrotóxicos-CTA, instituído pelo art. 95 do Decreto n° 4.074, de 4 de janeiro de 2002, DOU de 8 de janeiro de 2002, na reunião realizada em 5 de novembro de 2003,</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adota a seguinte Resolução e eu, Diretor-Presidente, determino a sua publicação:</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Art. 1º Autorizar o registro dos ingredientes ativos abaixo listados em anexos, em caráter emergencial, de acordo com recomendações técnicas disponibilizadas no processo n° 25351.052607/2003-77.</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Art. 2º As empresas interessadas em comercializar os agrotóxicos, contendo os ingredientes ativos citados nos anexos desta resolução, em caráter emergencial, deverão estar cadastradas nos Estados, no Distrito Federal e na Coordenação de Fiscalização de Agrotóxicos, do Departamento de Defesa e Inspeção Vegetal – CFA/DDIV/DAS, como fabricante e formuladora de agrotóxicos.</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Parágrafo único. as empresas interessadas deverão apresentar ao Ministério da Agricultura Pecuária e Abastecimento (MAPA) a documentação necessária à efetivação do registro definitivos dos referidos produtos de acordo com a legislação vigente.</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Art. 3° Será cancelado o registro, em caráter emergencial, dos ingredientes ativos citados no anexo desta resolução, se constatados problemas de ordem agronômica, toxicológica e ambiental.</w:t>
      </w:r>
    </w:p>
    <w:p w:rsidR="003769E6" w:rsidRDefault="003769E6">
      <w:pPr>
        <w:ind w:firstLine="567"/>
        <w:jc w:val="both"/>
        <w:rPr>
          <w:sz w:val="16"/>
          <w:szCs w:val="16"/>
        </w:rPr>
      </w:pPr>
    </w:p>
    <w:p w:rsidR="003769E6" w:rsidRDefault="003769E6">
      <w:pPr>
        <w:ind w:firstLine="567"/>
        <w:jc w:val="both"/>
        <w:rPr>
          <w:sz w:val="16"/>
          <w:szCs w:val="16"/>
        </w:rPr>
      </w:pPr>
      <w:r>
        <w:rPr>
          <w:sz w:val="16"/>
          <w:szCs w:val="16"/>
        </w:rPr>
        <w:t>Art. 4° Esta resolução entra em vigor na data de sua publicação.</w:t>
      </w:r>
    </w:p>
    <w:p w:rsidR="003769E6" w:rsidRDefault="003769E6">
      <w:pPr>
        <w:jc w:val="both"/>
        <w:rPr>
          <w:sz w:val="16"/>
          <w:szCs w:val="16"/>
        </w:rPr>
      </w:pPr>
    </w:p>
    <w:p w:rsidR="003769E6" w:rsidRDefault="003769E6">
      <w:pPr>
        <w:jc w:val="both"/>
        <w:rPr>
          <w:sz w:val="16"/>
          <w:szCs w:val="16"/>
        </w:rPr>
      </w:pPr>
    </w:p>
    <w:p w:rsidR="003769E6" w:rsidRDefault="003769E6">
      <w:pPr>
        <w:jc w:val="center"/>
        <w:rPr>
          <w:sz w:val="16"/>
          <w:szCs w:val="16"/>
        </w:rPr>
      </w:pPr>
      <w:r>
        <w:rPr>
          <w:sz w:val="16"/>
          <w:szCs w:val="16"/>
        </w:rPr>
        <w:t>##ASS CLAUDIO MAIEROVITCH PESSANHA HENRIQUES</w:t>
      </w:r>
    </w:p>
    <w:p w:rsidR="003769E6" w:rsidRDefault="003769E6">
      <w:pPr>
        <w:jc w:val="both"/>
        <w:rPr>
          <w:sz w:val="16"/>
          <w:szCs w:val="16"/>
        </w:rPr>
      </w:pPr>
    </w:p>
    <w:p w:rsidR="003769E6" w:rsidRDefault="003769E6">
      <w:pPr>
        <w:jc w:val="center"/>
        <w:rPr>
          <w:sz w:val="16"/>
          <w:szCs w:val="16"/>
        </w:rPr>
      </w:pPr>
      <w:r>
        <w:rPr>
          <w:sz w:val="16"/>
          <w:szCs w:val="16"/>
        </w:rPr>
        <w:t>ANEXO 1</w:t>
      </w:r>
    </w:p>
    <w:p w:rsidR="003769E6" w:rsidRDefault="003769E6">
      <w:pPr>
        <w:jc w:val="both"/>
        <w:rPr>
          <w:sz w:val="16"/>
          <w:szCs w:val="16"/>
        </w:rPr>
      </w:pPr>
    </w:p>
    <w:p w:rsidR="003769E6" w:rsidRDefault="003769E6">
      <w:pPr>
        <w:jc w:val="both"/>
        <w:rPr>
          <w:sz w:val="16"/>
          <w:szCs w:val="16"/>
        </w:rPr>
      </w:pPr>
      <w:r>
        <w:rPr>
          <w:sz w:val="16"/>
          <w:szCs w:val="16"/>
        </w:rPr>
        <w:t>a) Nome comum do ingrediente ativo: GRANDLURE (Grandlure)</w:t>
      </w:r>
    </w:p>
    <w:p w:rsidR="003769E6" w:rsidRDefault="003769E6">
      <w:pPr>
        <w:jc w:val="both"/>
        <w:rPr>
          <w:sz w:val="16"/>
          <w:szCs w:val="16"/>
        </w:rPr>
      </w:pPr>
      <w:r>
        <w:rPr>
          <w:sz w:val="16"/>
          <w:szCs w:val="16"/>
        </w:rPr>
        <w:t>b) N° CAS:</w:t>
      </w:r>
    </w:p>
    <w:p w:rsidR="003769E6" w:rsidRDefault="003769E6">
      <w:pPr>
        <w:jc w:val="both"/>
        <w:rPr>
          <w:sz w:val="16"/>
          <w:szCs w:val="16"/>
        </w:rPr>
      </w:pPr>
      <w:r>
        <w:rPr>
          <w:sz w:val="16"/>
          <w:szCs w:val="16"/>
        </w:rPr>
        <w:t>I. 26532-22-9</w:t>
      </w:r>
    </w:p>
    <w:p w:rsidR="003769E6" w:rsidRDefault="003769E6">
      <w:pPr>
        <w:jc w:val="both"/>
        <w:rPr>
          <w:sz w:val="16"/>
          <w:szCs w:val="16"/>
        </w:rPr>
      </w:pPr>
      <w:r>
        <w:rPr>
          <w:sz w:val="16"/>
          <w:szCs w:val="16"/>
        </w:rPr>
        <w:t>II. 26532-23-0</w:t>
      </w:r>
    </w:p>
    <w:p w:rsidR="003769E6" w:rsidRDefault="003769E6">
      <w:pPr>
        <w:jc w:val="both"/>
        <w:rPr>
          <w:sz w:val="16"/>
          <w:szCs w:val="16"/>
        </w:rPr>
      </w:pPr>
      <w:r>
        <w:rPr>
          <w:sz w:val="16"/>
          <w:szCs w:val="16"/>
        </w:rPr>
        <w:t>III. 26532-24-1</w:t>
      </w:r>
    </w:p>
    <w:p w:rsidR="003769E6" w:rsidRDefault="003769E6">
      <w:pPr>
        <w:jc w:val="both"/>
        <w:rPr>
          <w:sz w:val="16"/>
          <w:szCs w:val="16"/>
        </w:rPr>
      </w:pPr>
      <w:r>
        <w:rPr>
          <w:sz w:val="16"/>
          <w:szCs w:val="16"/>
        </w:rPr>
        <w:t>IV. 26532-25-2</w:t>
      </w:r>
    </w:p>
    <w:p w:rsidR="003769E6" w:rsidRDefault="003769E6">
      <w:pPr>
        <w:jc w:val="both"/>
        <w:rPr>
          <w:sz w:val="16"/>
          <w:szCs w:val="16"/>
        </w:rPr>
      </w:pPr>
    </w:p>
    <w:p w:rsidR="003769E6" w:rsidRDefault="003769E6">
      <w:pPr>
        <w:jc w:val="both"/>
        <w:rPr>
          <w:sz w:val="16"/>
          <w:szCs w:val="16"/>
        </w:rPr>
      </w:pPr>
      <w:r>
        <w:rPr>
          <w:sz w:val="16"/>
          <w:szCs w:val="16"/>
        </w:rPr>
        <w:t>c) Nomes químicos: o produto é constituído por:</w:t>
      </w:r>
    </w:p>
    <w:p w:rsidR="003769E6" w:rsidRDefault="003769E6">
      <w:pPr>
        <w:jc w:val="both"/>
        <w:rPr>
          <w:sz w:val="16"/>
          <w:szCs w:val="16"/>
          <w:lang w:val="en-US"/>
        </w:rPr>
      </w:pPr>
      <w:r>
        <w:rPr>
          <w:sz w:val="16"/>
          <w:szCs w:val="16"/>
          <w:lang w:val="en-US"/>
        </w:rPr>
        <w:t>I. (1R-2S)-1-Methyl-2-(1-methylethenyl)cyclobutaneethanol (CA)</w:t>
      </w:r>
    </w:p>
    <w:p w:rsidR="003769E6" w:rsidRDefault="003769E6">
      <w:pPr>
        <w:jc w:val="both"/>
        <w:rPr>
          <w:sz w:val="16"/>
          <w:szCs w:val="16"/>
          <w:lang w:val="en-US"/>
        </w:rPr>
      </w:pPr>
      <w:r>
        <w:rPr>
          <w:sz w:val="16"/>
          <w:szCs w:val="16"/>
          <w:lang w:val="en-US"/>
        </w:rPr>
        <w:t>II. (Z)-2-(3,3-Dimethylcyclohexylidene)ethanol (CA)</w:t>
      </w:r>
    </w:p>
    <w:p w:rsidR="003769E6" w:rsidRDefault="003769E6">
      <w:pPr>
        <w:jc w:val="both"/>
        <w:rPr>
          <w:sz w:val="16"/>
          <w:szCs w:val="16"/>
        </w:rPr>
      </w:pPr>
      <w:r>
        <w:rPr>
          <w:sz w:val="16"/>
          <w:szCs w:val="16"/>
        </w:rPr>
        <w:t xml:space="preserve">III. (E)-(3,3-Dimethylcyclohexylidene)acetaldehyde (CA)  </w:t>
      </w:r>
    </w:p>
    <w:p w:rsidR="003769E6" w:rsidRDefault="003769E6">
      <w:pPr>
        <w:jc w:val="both"/>
        <w:rPr>
          <w:sz w:val="16"/>
          <w:szCs w:val="16"/>
        </w:rPr>
      </w:pPr>
      <w:r>
        <w:rPr>
          <w:sz w:val="16"/>
          <w:szCs w:val="16"/>
        </w:rPr>
        <w:t xml:space="preserve">IV. (Z)-(3,3-Dimethylcyclohexylidene)acetaldehyde (CA) </w:t>
      </w:r>
    </w:p>
    <w:p w:rsidR="003769E6" w:rsidRDefault="003769E6">
      <w:pPr>
        <w:jc w:val="both"/>
        <w:rPr>
          <w:sz w:val="16"/>
          <w:szCs w:val="16"/>
        </w:rPr>
      </w:pPr>
      <w:r>
        <w:rPr>
          <w:sz w:val="16"/>
          <w:szCs w:val="16"/>
        </w:rPr>
        <w:t>d) Grupo químico: álcoois alifáticos e aldeídos</w:t>
      </w:r>
    </w:p>
    <w:p w:rsidR="003769E6" w:rsidRDefault="003769E6">
      <w:pPr>
        <w:jc w:val="both"/>
        <w:rPr>
          <w:sz w:val="16"/>
          <w:szCs w:val="16"/>
        </w:rPr>
      </w:pPr>
      <w:r>
        <w:rPr>
          <w:sz w:val="16"/>
          <w:szCs w:val="16"/>
        </w:rPr>
        <w:t>e) Classe: Feromônio Sintético</w:t>
      </w:r>
    </w:p>
    <w:p w:rsidR="003769E6" w:rsidRDefault="003769E6">
      <w:pPr>
        <w:jc w:val="both"/>
        <w:rPr>
          <w:sz w:val="16"/>
          <w:szCs w:val="16"/>
        </w:rPr>
      </w:pPr>
      <w:r>
        <w:rPr>
          <w:sz w:val="16"/>
          <w:szCs w:val="16"/>
        </w:rPr>
        <w:t>f) Indicação de uso concedida: algodão</w:t>
      </w:r>
    </w:p>
    <w:p w:rsidR="003769E6" w:rsidRDefault="003769E6">
      <w:pPr>
        <w:jc w:val="both"/>
        <w:rPr>
          <w:sz w:val="16"/>
          <w:szCs w:val="16"/>
        </w:rPr>
      </w:pPr>
      <w:r>
        <w:rPr>
          <w:sz w:val="16"/>
          <w:szCs w:val="16"/>
        </w:rPr>
        <w:t xml:space="preserve">g) Praga: Bicudo do algodoeiro </w:t>
      </w:r>
    </w:p>
    <w:p w:rsidR="003769E6" w:rsidRDefault="003769E6">
      <w:pPr>
        <w:jc w:val="both"/>
        <w:rPr>
          <w:sz w:val="16"/>
          <w:szCs w:val="16"/>
        </w:rPr>
      </w:pPr>
      <w:r>
        <w:rPr>
          <w:sz w:val="16"/>
          <w:szCs w:val="16"/>
        </w:rPr>
        <w:t xml:space="preserve">h) Modo de aplicação: monitoramento do inseto </w:t>
      </w:r>
      <w:r>
        <w:rPr>
          <w:i/>
          <w:iCs/>
          <w:sz w:val="16"/>
          <w:szCs w:val="16"/>
        </w:rPr>
        <w:t>Anthonomus grandis,</w:t>
      </w:r>
      <w:r>
        <w:rPr>
          <w:sz w:val="16"/>
          <w:szCs w:val="16"/>
        </w:rPr>
        <w:t xml:space="preserve"> através do uso de armadilhas, na cultura do algodão.</w:t>
      </w:r>
    </w:p>
    <w:p w:rsidR="003769E6" w:rsidRDefault="003769E6">
      <w:pPr>
        <w:jc w:val="both"/>
        <w:rPr>
          <w:sz w:val="16"/>
          <w:szCs w:val="16"/>
        </w:rPr>
      </w:pPr>
      <w:r>
        <w:rPr>
          <w:sz w:val="16"/>
          <w:szCs w:val="16"/>
        </w:rPr>
        <w:t>i) Intervalo de Segurança: não determinados devido a modalidade de emprego.</w:t>
      </w:r>
    </w:p>
    <w:p w:rsidR="003769E6" w:rsidRDefault="003769E6">
      <w:pPr>
        <w:jc w:val="both"/>
        <w:rPr>
          <w:sz w:val="16"/>
          <w:szCs w:val="16"/>
        </w:rPr>
      </w:pPr>
      <w:r>
        <w:rPr>
          <w:sz w:val="16"/>
          <w:szCs w:val="16"/>
        </w:rPr>
        <w:t>j) Uso emergencial concedido para importar 20.000 (vinte mil) pastilhas de feromônio com 10mg/cada, para dar continuidade ao  controle do bicudo do algodoeiro, devido ao desabastecimento do setor, esta autorização será concedida até 30 de novembro de 2003.</w:t>
      </w:r>
    </w:p>
    <w:p w:rsidR="003769E6" w:rsidRDefault="003769E6">
      <w:pPr>
        <w:jc w:val="both"/>
        <w:rPr>
          <w:sz w:val="16"/>
          <w:szCs w:val="16"/>
        </w:rPr>
      </w:pPr>
    </w:p>
    <w:p w:rsidR="003769E6" w:rsidRDefault="003769E6">
      <w:pPr>
        <w:jc w:val="center"/>
        <w:rPr>
          <w:sz w:val="16"/>
          <w:szCs w:val="16"/>
        </w:rPr>
      </w:pPr>
      <w:r>
        <w:rPr>
          <w:sz w:val="16"/>
          <w:szCs w:val="16"/>
        </w:rPr>
        <w:t>ANEXO 2</w:t>
      </w:r>
    </w:p>
    <w:p w:rsidR="003769E6" w:rsidRDefault="003769E6">
      <w:pPr>
        <w:jc w:val="both"/>
        <w:rPr>
          <w:sz w:val="16"/>
          <w:szCs w:val="16"/>
        </w:rPr>
      </w:pPr>
    </w:p>
    <w:p w:rsidR="003769E6" w:rsidRDefault="003769E6">
      <w:pPr>
        <w:jc w:val="both"/>
        <w:rPr>
          <w:sz w:val="16"/>
          <w:szCs w:val="16"/>
        </w:rPr>
      </w:pPr>
      <w:r>
        <w:rPr>
          <w:sz w:val="16"/>
          <w:szCs w:val="16"/>
        </w:rPr>
        <w:t>a) Nome comum do ingrediente ativo: CODLELURE (Codlemônio)</w:t>
      </w:r>
    </w:p>
    <w:p w:rsidR="003769E6" w:rsidRDefault="003769E6">
      <w:pPr>
        <w:jc w:val="both"/>
        <w:rPr>
          <w:sz w:val="16"/>
          <w:szCs w:val="16"/>
        </w:rPr>
      </w:pPr>
      <w:r>
        <w:rPr>
          <w:sz w:val="16"/>
          <w:szCs w:val="16"/>
        </w:rPr>
        <w:t>b) N° CAS: 33956-49-9</w:t>
      </w:r>
    </w:p>
    <w:p w:rsidR="003769E6" w:rsidRDefault="003769E6">
      <w:pPr>
        <w:jc w:val="both"/>
        <w:rPr>
          <w:sz w:val="16"/>
          <w:szCs w:val="16"/>
        </w:rPr>
      </w:pPr>
      <w:r>
        <w:rPr>
          <w:sz w:val="16"/>
          <w:szCs w:val="16"/>
        </w:rPr>
        <w:t>c) Nome químico do ingrediente ativo: (8E,10E)-dodeca-8,10-dien-1-ol</w:t>
      </w:r>
    </w:p>
    <w:p w:rsidR="003769E6" w:rsidRDefault="003769E6">
      <w:pPr>
        <w:jc w:val="both"/>
        <w:rPr>
          <w:sz w:val="16"/>
          <w:szCs w:val="16"/>
        </w:rPr>
      </w:pPr>
      <w:r>
        <w:rPr>
          <w:sz w:val="16"/>
          <w:szCs w:val="16"/>
        </w:rPr>
        <w:t>d) Grupo químico: Álcool insaturado</w:t>
      </w:r>
    </w:p>
    <w:p w:rsidR="003769E6" w:rsidRDefault="003769E6">
      <w:pPr>
        <w:jc w:val="both"/>
        <w:rPr>
          <w:sz w:val="16"/>
          <w:szCs w:val="16"/>
        </w:rPr>
      </w:pPr>
      <w:r>
        <w:rPr>
          <w:sz w:val="16"/>
          <w:szCs w:val="16"/>
        </w:rPr>
        <w:t>e) Classe: Feromônio sintético</w:t>
      </w:r>
    </w:p>
    <w:p w:rsidR="003769E6" w:rsidRDefault="003769E6">
      <w:pPr>
        <w:jc w:val="both"/>
        <w:rPr>
          <w:sz w:val="16"/>
          <w:szCs w:val="16"/>
        </w:rPr>
      </w:pPr>
      <w:r>
        <w:rPr>
          <w:sz w:val="16"/>
          <w:szCs w:val="16"/>
        </w:rPr>
        <w:t>f) Indicação de uso concedida: maçã</w:t>
      </w:r>
    </w:p>
    <w:p w:rsidR="003769E6" w:rsidRDefault="003769E6">
      <w:pPr>
        <w:jc w:val="both"/>
        <w:rPr>
          <w:sz w:val="16"/>
          <w:szCs w:val="16"/>
        </w:rPr>
      </w:pPr>
      <w:r>
        <w:rPr>
          <w:sz w:val="16"/>
          <w:szCs w:val="16"/>
        </w:rPr>
        <w:t xml:space="preserve">g) Praga: </w:t>
      </w:r>
      <w:r>
        <w:rPr>
          <w:i/>
          <w:iCs/>
          <w:sz w:val="16"/>
          <w:szCs w:val="16"/>
        </w:rPr>
        <w:t>Cydia pormonella</w:t>
      </w:r>
    </w:p>
    <w:p w:rsidR="003769E6" w:rsidRDefault="003769E6">
      <w:pPr>
        <w:jc w:val="both"/>
        <w:rPr>
          <w:sz w:val="16"/>
          <w:szCs w:val="16"/>
        </w:rPr>
      </w:pPr>
      <w:r>
        <w:rPr>
          <w:sz w:val="16"/>
          <w:szCs w:val="16"/>
        </w:rPr>
        <w:t>h) Aplicação: através de armadilha</w:t>
      </w:r>
    </w:p>
    <w:p w:rsidR="003769E6" w:rsidRDefault="003769E6">
      <w:pPr>
        <w:jc w:val="both"/>
        <w:rPr>
          <w:sz w:val="16"/>
          <w:szCs w:val="16"/>
        </w:rPr>
      </w:pPr>
      <w:r>
        <w:rPr>
          <w:sz w:val="16"/>
          <w:szCs w:val="16"/>
        </w:rPr>
        <w:t xml:space="preserve">i) Modo de aplicação: controle massal do inseto </w:t>
      </w:r>
      <w:r>
        <w:rPr>
          <w:i/>
          <w:iCs/>
          <w:sz w:val="16"/>
          <w:szCs w:val="16"/>
        </w:rPr>
        <w:t>Cydia pomonella,</w:t>
      </w:r>
      <w:r>
        <w:rPr>
          <w:sz w:val="16"/>
          <w:szCs w:val="16"/>
        </w:rPr>
        <w:t xml:space="preserve"> através do uso de armadilhas, na cultura da maçã.</w:t>
      </w:r>
    </w:p>
    <w:p w:rsidR="003769E6" w:rsidRDefault="003769E6">
      <w:pPr>
        <w:jc w:val="both"/>
        <w:rPr>
          <w:sz w:val="16"/>
          <w:szCs w:val="16"/>
        </w:rPr>
      </w:pPr>
      <w:r>
        <w:rPr>
          <w:sz w:val="16"/>
          <w:szCs w:val="16"/>
        </w:rPr>
        <w:t>j) Dose : Isca atrai mata  0,24g a 2,25 g de codlemone/ha</w:t>
      </w:r>
    </w:p>
    <w:p w:rsidR="003769E6" w:rsidRDefault="003769E6">
      <w:pPr>
        <w:jc w:val="both"/>
        <w:rPr>
          <w:sz w:val="16"/>
          <w:szCs w:val="16"/>
        </w:rPr>
      </w:pPr>
      <w:r>
        <w:rPr>
          <w:sz w:val="16"/>
          <w:szCs w:val="16"/>
        </w:rPr>
        <w:t xml:space="preserve"> Confusão sexual 1,125 a 190,0 g de codlemone/ha</w:t>
      </w:r>
    </w:p>
    <w:p w:rsidR="003769E6" w:rsidRDefault="003769E6">
      <w:pPr>
        <w:jc w:val="both"/>
        <w:rPr>
          <w:sz w:val="16"/>
          <w:szCs w:val="16"/>
        </w:rPr>
      </w:pPr>
      <w:r>
        <w:rPr>
          <w:sz w:val="16"/>
          <w:szCs w:val="16"/>
        </w:rPr>
        <w:t>k) Intervalo de segurança: não determinados devido a modalidade de emprego.</w:t>
      </w:r>
    </w:p>
    <w:p w:rsidR="003769E6" w:rsidRDefault="003769E6">
      <w:pPr>
        <w:jc w:val="both"/>
        <w:rPr>
          <w:sz w:val="16"/>
          <w:szCs w:val="16"/>
        </w:rPr>
      </w:pPr>
      <w:r>
        <w:rPr>
          <w:sz w:val="16"/>
          <w:szCs w:val="16"/>
        </w:rPr>
        <w:t>l) Uso emergencial concedido pelo período de 18 (desoito) meses, a contar da data da sua publicação.</w:t>
      </w:r>
    </w:p>
    <w:p w:rsidR="003769E6" w:rsidRDefault="003769E6">
      <w:pPr>
        <w:jc w:val="both"/>
        <w:rPr>
          <w:sz w:val="16"/>
          <w:szCs w:val="16"/>
        </w:rPr>
      </w:pPr>
    </w:p>
    <w:p w:rsidR="003769E6" w:rsidRDefault="003769E6">
      <w:pPr>
        <w:jc w:val="center"/>
        <w:rPr>
          <w:sz w:val="16"/>
          <w:szCs w:val="16"/>
        </w:rPr>
      </w:pPr>
      <w:r>
        <w:rPr>
          <w:sz w:val="16"/>
          <w:szCs w:val="16"/>
        </w:rPr>
        <w:t>ANEXO 3</w:t>
      </w:r>
    </w:p>
    <w:p w:rsidR="003769E6" w:rsidRDefault="003769E6">
      <w:pPr>
        <w:jc w:val="both"/>
        <w:rPr>
          <w:sz w:val="16"/>
          <w:szCs w:val="16"/>
        </w:rPr>
      </w:pPr>
    </w:p>
    <w:p w:rsidR="003769E6" w:rsidRDefault="003769E6">
      <w:pPr>
        <w:pStyle w:val="Corpodetexto2"/>
      </w:pPr>
      <w:r>
        <w:t>1) Nome comum do ingrediente ativo: CIPERMETRINA (Cypermethrin)</w:t>
      </w:r>
    </w:p>
    <w:p w:rsidR="003769E6" w:rsidRDefault="003769E6">
      <w:pPr>
        <w:jc w:val="both"/>
        <w:rPr>
          <w:sz w:val="16"/>
          <w:szCs w:val="16"/>
        </w:rPr>
      </w:pPr>
      <w:r>
        <w:rPr>
          <w:sz w:val="16"/>
          <w:szCs w:val="16"/>
        </w:rPr>
        <w:t>2) Nome químico do ingrediente ativo: (RS)-</w:t>
      </w:r>
      <w:r>
        <w:rPr>
          <w:sz w:val="16"/>
          <w:szCs w:val="16"/>
        </w:rPr>
        <w:sym w:font="Symbol" w:char="F061"/>
      </w:r>
      <w:r>
        <w:rPr>
          <w:sz w:val="16"/>
          <w:szCs w:val="16"/>
        </w:rPr>
        <w:t>-cyano-3-phenoxybenzyl (1RS, 3RS;1RS, 3SR)-3-(2,2-dichlorovinyl)-2,2-dimethylcyclopropane carboxylate.</w:t>
      </w:r>
    </w:p>
    <w:p w:rsidR="003769E6" w:rsidRDefault="003769E6">
      <w:pPr>
        <w:jc w:val="both"/>
        <w:rPr>
          <w:sz w:val="16"/>
          <w:szCs w:val="16"/>
        </w:rPr>
      </w:pPr>
      <w:r>
        <w:rPr>
          <w:sz w:val="16"/>
          <w:szCs w:val="16"/>
        </w:rPr>
        <w:t>3) N° CAS: 52315-07-8</w:t>
      </w:r>
    </w:p>
    <w:p w:rsidR="003769E6" w:rsidRDefault="003769E6">
      <w:pPr>
        <w:jc w:val="both"/>
        <w:rPr>
          <w:sz w:val="16"/>
          <w:szCs w:val="16"/>
        </w:rPr>
      </w:pPr>
      <w:r>
        <w:rPr>
          <w:sz w:val="16"/>
          <w:szCs w:val="16"/>
        </w:rPr>
        <w:t>4) Classe: Inseticida e formicida</w:t>
      </w:r>
    </w:p>
    <w:p w:rsidR="003769E6" w:rsidRDefault="003769E6">
      <w:pPr>
        <w:jc w:val="both"/>
        <w:rPr>
          <w:sz w:val="16"/>
          <w:szCs w:val="16"/>
        </w:rPr>
      </w:pPr>
      <w:r>
        <w:rPr>
          <w:sz w:val="16"/>
          <w:szCs w:val="16"/>
        </w:rPr>
        <w:t>5) Grupo químico: piretróide</w:t>
      </w:r>
    </w:p>
    <w:p w:rsidR="003769E6" w:rsidRDefault="003769E6">
      <w:pPr>
        <w:jc w:val="both"/>
        <w:rPr>
          <w:sz w:val="16"/>
          <w:szCs w:val="16"/>
        </w:rPr>
      </w:pPr>
      <w:r>
        <w:rPr>
          <w:sz w:val="16"/>
          <w:szCs w:val="16"/>
        </w:rPr>
        <w:t>6) Indicação de uso concedida: maçã</w:t>
      </w:r>
    </w:p>
    <w:p w:rsidR="003769E6" w:rsidRDefault="003769E6">
      <w:pPr>
        <w:jc w:val="both"/>
        <w:rPr>
          <w:sz w:val="16"/>
          <w:szCs w:val="16"/>
        </w:rPr>
      </w:pPr>
      <w:r>
        <w:rPr>
          <w:sz w:val="16"/>
          <w:szCs w:val="16"/>
        </w:rPr>
        <w:t xml:space="preserve">7) Praga: </w:t>
      </w:r>
      <w:r>
        <w:rPr>
          <w:i/>
          <w:iCs/>
          <w:sz w:val="16"/>
          <w:szCs w:val="16"/>
        </w:rPr>
        <w:t>Cydia  pomonella</w:t>
      </w:r>
    </w:p>
    <w:p w:rsidR="003769E6" w:rsidRDefault="003769E6">
      <w:pPr>
        <w:jc w:val="both"/>
        <w:rPr>
          <w:sz w:val="16"/>
          <w:szCs w:val="16"/>
        </w:rPr>
      </w:pPr>
      <w:r>
        <w:rPr>
          <w:sz w:val="16"/>
          <w:szCs w:val="16"/>
        </w:rPr>
        <w:t>8) Aplicação: através de armadilha adicionado a ferormônio Codlelure (Codlemônio).</w:t>
      </w:r>
    </w:p>
    <w:p w:rsidR="003769E6" w:rsidRDefault="003769E6">
      <w:pPr>
        <w:jc w:val="both"/>
        <w:rPr>
          <w:sz w:val="16"/>
          <w:szCs w:val="16"/>
        </w:rPr>
      </w:pPr>
      <w:r>
        <w:rPr>
          <w:sz w:val="16"/>
          <w:szCs w:val="16"/>
        </w:rPr>
        <w:t xml:space="preserve">9) Modo de aplicação: Monitoramento do inseto </w:t>
      </w:r>
      <w:r>
        <w:rPr>
          <w:i/>
          <w:iCs/>
          <w:sz w:val="16"/>
          <w:szCs w:val="16"/>
        </w:rPr>
        <w:t>Cydia  pormonella,</w:t>
      </w:r>
      <w:r>
        <w:rPr>
          <w:sz w:val="16"/>
          <w:szCs w:val="16"/>
        </w:rPr>
        <w:t xml:space="preserve"> através do uso de armadilhas, na cultura da maçã.</w:t>
      </w:r>
    </w:p>
    <w:p w:rsidR="003769E6" w:rsidRDefault="003769E6">
      <w:pPr>
        <w:jc w:val="both"/>
        <w:rPr>
          <w:sz w:val="16"/>
          <w:szCs w:val="16"/>
          <w:lang w:val="es-ES_tradnl"/>
        </w:rPr>
      </w:pPr>
      <w:r>
        <w:rPr>
          <w:sz w:val="16"/>
          <w:szCs w:val="16"/>
          <w:lang w:val="es-ES_tradnl"/>
        </w:rPr>
        <w:t>10) Dose: 5,625 a 11,25 g/ha</w:t>
      </w:r>
    </w:p>
    <w:p w:rsidR="003769E6" w:rsidRDefault="003769E6">
      <w:pPr>
        <w:jc w:val="both"/>
        <w:rPr>
          <w:sz w:val="16"/>
          <w:szCs w:val="16"/>
        </w:rPr>
      </w:pPr>
      <w:r>
        <w:rPr>
          <w:sz w:val="16"/>
          <w:szCs w:val="16"/>
        </w:rPr>
        <w:t>11) Intervalo de segurança: não determinados devido a modalidade de emprego.</w:t>
      </w:r>
    </w:p>
    <w:p w:rsidR="003769E6" w:rsidRDefault="003769E6">
      <w:pPr>
        <w:jc w:val="both"/>
        <w:rPr>
          <w:sz w:val="16"/>
          <w:szCs w:val="16"/>
        </w:rPr>
      </w:pPr>
      <w:r>
        <w:rPr>
          <w:sz w:val="16"/>
          <w:szCs w:val="16"/>
        </w:rPr>
        <w:lastRenderedPageBreak/>
        <w:t>12) Uso emergencial concedido pelo período de 18 (dezoito) meses, a contar da data da sua publicação.</w:t>
      </w:r>
    </w:p>
    <w:p w:rsidR="003769E6" w:rsidRDefault="003769E6">
      <w:pPr>
        <w:jc w:val="both"/>
        <w:rPr>
          <w:sz w:val="16"/>
          <w:szCs w:val="16"/>
        </w:rPr>
      </w:pPr>
    </w:p>
    <w:p w:rsidR="003769E6" w:rsidRDefault="003769E6">
      <w:pPr>
        <w:jc w:val="center"/>
        <w:rPr>
          <w:sz w:val="16"/>
          <w:szCs w:val="16"/>
        </w:rPr>
      </w:pPr>
      <w:r>
        <w:rPr>
          <w:sz w:val="16"/>
          <w:szCs w:val="16"/>
        </w:rPr>
        <w:t>ANEXO 4</w:t>
      </w:r>
    </w:p>
    <w:p w:rsidR="003769E6" w:rsidRDefault="003769E6">
      <w:pPr>
        <w:jc w:val="both"/>
        <w:rPr>
          <w:sz w:val="16"/>
          <w:szCs w:val="16"/>
        </w:rPr>
      </w:pPr>
    </w:p>
    <w:p w:rsidR="003769E6" w:rsidRDefault="003769E6">
      <w:pPr>
        <w:jc w:val="both"/>
        <w:rPr>
          <w:sz w:val="16"/>
          <w:szCs w:val="16"/>
        </w:rPr>
      </w:pPr>
      <w:r>
        <w:rPr>
          <w:sz w:val="16"/>
          <w:szCs w:val="16"/>
        </w:rPr>
        <w:t>a) Nome comum do ingrediente ativo:  PERMETRINA (Permethrin)</w:t>
      </w:r>
    </w:p>
    <w:p w:rsidR="003769E6" w:rsidRDefault="003769E6">
      <w:pPr>
        <w:jc w:val="both"/>
        <w:rPr>
          <w:sz w:val="16"/>
          <w:szCs w:val="16"/>
        </w:rPr>
      </w:pPr>
      <w:r>
        <w:rPr>
          <w:sz w:val="16"/>
          <w:szCs w:val="16"/>
        </w:rPr>
        <w:t>b) N° CAS: 52645-53-1</w:t>
      </w:r>
    </w:p>
    <w:p w:rsidR="003769E6" w:rsidRDefault="003769E6">
      <w:pPr>
        <w:jc w:val="both"/>
        <w:rPr>
          <w:sz w:val="16"/>
          <w:szCs w:val="16"/>
        </w:rPr>
      </w:pPr>
      <w:r>
        <w:rPr>
          <w:sz w:val="16"/>
          <w:szCs w:val="16"/>
        </w:rPr>
        <w:t>c) Nome químico do ingrediente ativo: 3-phenoxybenzyl (1RS,3RS;1RS,3SR)-3-(2,2-dichlorovinyl)-2,2-dimethylcyclopropanecarboxylate</w:t>
      </w:r>
    </w:p>
    <w:p w:rsidR="003769E6" w:rsidRDefault="003769E6">
      <w:pPr>
        <w:jc w:val="both"/>
        <w:rPr>
          <w:sz w:val="16"/>
          <w:szCs w:val="16"/>
        </w:rPr>
      </w:pPr>
      <w:r>
        <w:rPr>
          <w:sz w:val="16"/>
          <w:szCs w:val="16"/>
        </w:rPr>
        <w:t>d) Grupo químico: piretróide</w:t>
      </w:r>
    </w:p>
    <w:p w:rsidR="003769E6" w:rsidRDefault="003769E6">
      <w:pPr>
        <w:jc w:val="both"/>
        <w:rPr>
          <w:sz w:val="16"/>
          <w:szCs w:val="16"/>
        </w:rPr>
      </w:pPr>
      <w:r>
        <w:rPr>
          <w:sz w:val="16"/>
          <w:szCs w:val="16"/>
        </w:rPr>
        <w:t>e) Classe: Inseticida e formicida</w:t>
      </w:r>
    </w:p>
    <w:p w:rsidR="003769E6" w:rsidRDefault="003769E6">
      <w:pPr>
        <w:jc w:val="both"/>
        <w:rPr>
          <w:sz w:val="16"/>
          <w:szCs w:val="16"/>
        </w:rPr>
      </w:pPr>
      <w:r>
        <w:rPr>
          <w:sz w:val="16"/>
          <w:szCs w:val="16"/>
        </w:rPr>
        <w:t>f) Indicação de uso concedida: maçã</w:t>
      </w:r>
    </w:p>
    <w:p w:rsidR="003769E6" w:rsidRDefault="003769E6">
      <w:pPr>
        <w:jc w:val="both"/>
        <w:rPr>
          <w:sz w:val="16"/>
          <w:szCs w:val="16"/>
        </w:rPr>
      </w:pPr>
      <w:r>
        <w:rPr>
          <w:sz w:val="16"/>
          <w:szCs w:val="16"/>
        </w:rPr>
        <w:t xml:space="preserve">g) Praga: </w:t>
      </w:r>
      <w:r>
        <w:rPr>
          <w:i/>
          <w:iCs/>
          <w:sz w:val="16"/>
          <w:szCs w:val="16"/>
        </w:rPr>
        <w:t>Cydia  pomonella</w:t>
      </w:r>
    </w:p>
    <w:p w:rsidR="003769E6" w:rsidRDefault="003769E6">
      <w:pPr>
        <w:jc w:val="both"/>
        <w:rPr>
          <w:sz w:val="16"/>
          <w:szCs w:val="16"/>
        </w:rPr>
      </w:pPr>
      <w:r>
        <w:rPr>
          <w:sz w:val="16"/>
          <w:szCs w:val="16"/>
        </w:rPr>
        <w:t>h) Aplicação: através de armadilha adicionado a feromônio Codlelure (Codlemônio).</w:t>
      </w:r>
    </w:p>
    <w:p w:rsidR="003769E6" w:rsidRDefault="003769E6">
      <w:pPr>
        <w:jc w:val="both"/>
        <w:rPr>
          <w:sz w:val="16"/>
          <w:szCs w:val="16"/>
        </w:rPr>
      </w:pPr>
      <w:r>
        <w:rPr>
          <w:sz w:val="16"/>
          <w:szCs w:val="16"/>
        </w:rPr>
        <w:t xml:space="preserve">i) Modo de aplicação: controle do inseto </w:t>
      </w:r>
      <w:r>
        <w:rPr>
          <w:i/>
          <w:iCs/>
          <w:sz w:val="16"/>
          <w:szCs w:val="16"/>
        </w:rPr>
        <w:t>Cydia  pormonella,</w:t>
      </w:r>
      <w:r>
        <w:rPr>
          <w:sz w:val="16"/>
          <w:szCs w:val="16"/>
        </w:rPr>
        <w:t xml:space="preserve"> através do uso de armadilhas, na cultura da maçã.</w:t>
      </w:r>
    </w:p>
    <w:p w:rsidR="003769E6" w:rsidRDefault="003769E6">
      <w:pPr>
        <w:jc w:val="both"/>
        <w:rPr>
          <w:sz w:val="16"/>
          <w:szCs w:val="16"/>
          <w:lang w:val="es-ES_tradnl"/>
        </w:rPr>
      </w:pPr>
      <w:r>
        <w:rPr>
          <w:sz w:val="16"/>
          <w:szCs w:val="16"/>
          <w:lang w:val="es-ES_tradnl"/>
        </w:rPr>
        <w:t>j) Dose: 9,0g de permetrin/ha</w:t>
      </w:r>
    </w:p>
    <w:p w:rsidR="003769E6" w:rsidRDefault="003769E6">
      <w:pPr>
        <w:jc w:val="both"/>
        <w:rPr>
          <w:sz w:val="16"/>
          <w:szCs w:val="16"/>
        </w:rPr>
      </w:pPr>
      <w:r>
        <w:rPr>
          <w:sz w:val="16"/>
          <w:szCs w:val="16"/>
        </w:rPr>
        <w:t>k) Intervalo de segurança: não determinados devido a modalidade de emprego.</w:t>
      </w:r>
    </w:p>
    <w:p w:rsidR="003769E6" w:rsidRDefault="003769E6">
      <w:pPr>
        <w:jc w:val="both"/>
        <w:rPr>
          <w:sz w:val="16"/>
          <w:szCs w:val="16"/>
        </w:rPr>
      </w:pPr>
      <w:r>
        <w:rPr>
          <w:sz w:val="16"/>
          <w:szCs w:val="16"/>
        </w:rPr>
        <w:t>l) Uso emergencial concedido pelo período de 18 (dezoito) meses, a contar da data da sua publicação</w:t>
      </w:r>
    </w:p>
    <w:sectPr w:rsidR="003769E6" w:rsidSect="003769E6">
      <w:pgSz w:w="11907" w:h="16840" w:code="9"/>
      <w:pgMar w:top="567" w:right="352" w:bottom="278" w:left="56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99418C9"/>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2" w15:restartNumberingAfterBreak="0">
    <w:nsid w:val="0A38292B"/>
    <w:multiLevelType w:val="singleLevel"/>
    <w:tmpl w:val="F02EC60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5F12BC"/>
    <w:multiLevelType w:val="multilevel"/>
    <w:tmpl w:val="EAB6ED6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19657326"/>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5" w15:restartNumberingAfterBreak="0">
    <w:nsid w:val="1C1224DF"/>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6" w15:restartNumberingAfterBreak="0">
    <w:nsid w:val="212A7AE3"/>
    <w:multiLevelType w:val="multilevel"/>
    <w:tmpl w:val="383A75E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80"/>
        </w:tabs>
        <w:ind w:left="780" w:hanging="360"/>
      </w:pPr>
      <w:rPr>
        <w:rFonts w:cs="Times New Roman" w:hint="default"/>
      </w:rPr>
    </w:lvl>
    <w:lvl w:ilvl="2">
      <w:start w:val="1"/>
      <w:numFmt w:val="decimal"/>
      <w:lvlText w:val="%1.%2)%3."/>
      <w:lvlJc w:val="left"/>
      <w:pPr>
        <w:tabs>
          <w:tab w:val="num" w:pos="1560"/>
        </w:tabs>
        <w:ind w:left="1560" w:hanging="720"/>
      </w:pPr>
      <w:rPr>
        <w:rFonts w:cs="Times New Roman" w:hint="default"/>
      </w:rPr>
    </w:lvl>
    <w:lvl w:ilvl="3">
      <w:start w:val="1"/>
      <w:numFmt w:val="decimal"/>
      <w:lvlText w:val="%1.%2)%3.%4."/>
      <w:lvlJc w:val="left"/>
      <w:pPr>
        <w:tabs>
          <w:tab w:val="num" w:pos="1980"/>
        </w:tabs>
        <w:ind w:left="1980" w:hanging="720"/>
      </w:pPr>
      <w:rPr>
        <w:rFonts w:cs="Times New Roman" w:hint="default"/>
      </w:rPr>
    </w:lvl>
    <w:lvl w:ilvl="4">
      <w:start w:val="1"/>
      <w:numFmt w:val="decimal"/>
      <w:lvlText w:val="%1.%2)%3.%4.%5."/>
      <w:lvlJc w:val="left"/>
      <w:pPr>
        <w:tabs>
          <w:tab w:val="num" w:pos="2400"/>
        </w:tabs>
        <w:ind w:left="2400" w:hanging="720"/>
      </w:pPr>
      <w:rPr>
        <w:rFonts w:cs="Times New Roman" w:hint="default"/>
      </w:rPr>
    </w:lvl>
    <w:lvl w:ilvl="5">
      <w:start w:val="1"/>
      <w:numFmt w:val="decimal"/>
      <w:lvlText w:val="%1.%2)%3.%4.%5.%6."/>
      <w:lvlJc w:val="left"/>
      <w:pPr>
        <w:tabs>
          <w:tab w:val="num" w:pos="3180"/>
        </w:tabs>
        <w:ind w:left="3180" w:hanging="1080"/>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020"/>
        </w:tabs>
        <w:ind w:left="4020" w:hanging="1080"/>
      </w:pPr>
      <w:rPr>
        <w:rFonts w:cs="Times New Roman" w:hint="default"/>
      </w:rPr>
    </w:lvl>
    <w:lvl w:ilvl="8">
      <w:start w:val="1"/>
      <w:numFmt w:val="decimal"/>
      <w:lvlText w:val="%1.%2)%3.%4.%5.%6.%7.%8.%9."/>
      <w:lvlJc w:val="left"/>
      <w:pPr>
        <w:tabs>
          <w:tab w:val="num" w:pos="4800"/>
        </w:tabs>
        <w:ind w:left="4800" w:hanging="1440"/>
      </w:pPr>
      <w:rPr>
        <w:rFonts w:cs="Times New Roman" w:hint="default"/>
      </w:rPr>
    </w:lvl>
  </w:abstractNum>
  <w:abstractNum w:abstractNumId="7" w15:restartNumberingAfterBreak="0">
    <w:nsid w:val="284D5576"/>
    <w:multiLevelType w:val="singleLevel"/>
    <w:tmpl w:val="04160013"/>
    <w:lvl w:ilvl="0">
      <w:start w:val="1"/>
      <w:numFmt w:val="upperRoman"/>
      <w:lvlText w:val="%1."/>
      <w:lvlJc w:val="left"/>
      <w:pPr>
        <w:tabs>
          <w:tab w:val="num" w:pos="720"/>
        </w:tabs>
        <w:ind w:left="720" w:hanging="720"/>
      </w:pPr>
      <w:rPr>
        <w:rFonts w:cs="Times New Roman"/>
      </w:rPr>
    </w:lvl>
  </w:abstractNum>
  <w:abstractNum w:abstractNumId="8" w15:restartNumberingAfterBreak="0">
    <w:nsid w:val="28FB59AF"/>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9" w15:restartNumberingAfterBreak="0">
    <w:nsid w:val="2DBE05EE"/>
    <w:multiLevelType w:val="singleLevel"/>
    <w:tmpl w:val="04160013"/>
    <w:lvl w:ilvl="0">
      <w:start w:val="1"/>
      <w:numFmt w:val="upperRoman"/>
      <w:lvlText w:val="%1."/>
      <w:lvlJc w:val="left"/>
      <w:pPr>
        <w:tabs>
          <w:tab w:val="num" w:pos="720"/>
        </w:tabs>
        <w:ind w:left="720" w:hanging="720"/>
      </w:pPr>
      <w:rPr>
        <w:rFonts w:cs="Times New Roman"/>
      </w:rPr>
    </w:lvl>
  </w:abstractNum>
  <w:abstractNum w:abstractNumId="10" w15:restartNumberingAfterBreak="0">
    <w:nsid w:val="38393106"/>
    <w:multiLevelType w:val="multilevel"/>
    <w:tmpl w:val="D4961F0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38FB30D5"/>
    <w:multiLevelType w:val="hybridMultilevel"/>
    <w:tmpl w:val="D3B0A6FE"/>
    <w:lvl w:ilvl="0" w:tplc="28687EE0">
      <w:start w:val="3"/>
      <w:numFmt w:val="upp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3A161D34"/>
    <w:multiLevelType w:val="hybridMultilevel"/>
    <w:tmpl w:val="DD92ABE6"/>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3B2E18A2"/>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14" w15:restartNumberingAfterBreak="0">
    <w:nsid w:val="3E271E9E"/>
    <w:multiLevelType w:val="multilevel"/>
    <w:tmpl w:val="8B385DD8"/>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15:restartNumberingAfterBreak="0">
    <w:nsid w:val="3E283674"/>
    <w:multiLevelType w:val="multilevel"/>
    <w:tmpl w:val="9F167940"/>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3E3B0CFD"/>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17" w15:restartNumberingAfterBreak="0">
    <w:nsid w:val="42EA5F93"/>
    <w:multiLevelType w:val="hybridMultilevel"/>
    <w:tmpl w:val="A09AC952"/>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8" w15:restartNumberingAfterBreak="0">
    <w:nsid w:val="49307EA4"/>
    <w:multiLevelType w:val="multilevel"/>
    <w:tmpl w:val="64B4C152"/>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4A641563"/>
    <w:multiLevelType w:val="multilevel"/>
    <w:tmpl w:val="311A09B8"/>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15:restartNumberingAfterBreak="0">
    <w:nsid w:val="4B6A724E"/>
    <w:multiLevelType w:val="hybridMultilevel"/>
    <w:tmpl w:val="F7006D18"/>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hint="default"/>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1" w15:restartNumberingAfterBreak="0">
    <w:nsid w:val="4EBD7E77"/>
    <w:multiLevelType w:val="hybridMultilevel"/>
    <w:tmpl w:val="716E2BAE"/>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2" w15:restartNumberingAfterBreak="0">
    <w:nsid w:val="4EF43123"/>
    <w:multiLevelType w:val="hybridMultilevel"/>
    <w:tmpl w:val="6AF4ACB2"/>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50482EAD"/>
    <w:multiLevelType w:val="multilevel"/>
    <w:tmpl w:val="B45EF326"/>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15:restartNumberingAfterBreak="0">
    <w:nsid w:val="50BB53D0"/>
    <w:multiLevelType w:val="singleLevel"/>
    <w:tmpl w:val="04160013"/>
    <w:lvl w:ilvl="0">
      <w:start w:val="1"/>
      <w:numFmt w:val="upperRoman"/>
      <w:lvlText w:val="%1."/>
      <w:lvlJc w:val="left"/>
      <w:pPr>
        <w:tabs>
          <w:tab w:val="num" w:pos="720"/>
        </w:tabs>
        <w:ind w:left="720" w:hanging="720"/>
      </w:pPr>
      <w:rPr>
        <w:rFonts w:cs="Times New Roman"/>
      </w:rPr>
    </w:lvl>
  </w:abstractNum>
  <w:abstractNum w:abstractNumId="25" w15:restartNumberingAfterBreak="0">
    <w:nsid w:val="59497C85"/>
    <w:multiLevelType w:val="multilevel"/>
    <w:tmpl w:val="96A845E6"/>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15:restartNumberingAfterBreak="0">
    <w:nsid w:val="5A577399"/>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27" w15:restartNumberingAfterBreak="0">
    <w:nsid w:val="5ABE63EA"/>
    <w:multiLevelType w:val="multilevel"/>
    <w:tmpl w:val="871CE812"/>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15:restartNumberingAfterBreak="0">
    <w:nsid w:val="5C196CB2"/>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29" w15:restartNumberingAfterBreak="0">
    <w:nsid w:val="5D3A4CAD"/>
    <w:multiLevelType w:val="multilevel"/>
    <w:tmpl w:val="BA8E69E4"/>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0" w15:restartNumberingAfterBreak="0">
    <w:nsid w:val="5E890A76"/>
    <w:multiLevelType w:val="multilevel"/>
    <w:tmpl w:val="0D8AA914"/>
    <w:lvl w:ilvl="0">
      <w:start w:val="4"/>
      <w:numFmt w:val="decimal"/>
      <w:lvlText w:val="%1."/>
      <w:lvlJc w:val="left"/>
      <w:pPr>
        <w:tabs>
          <w:tab w:val="num" w:pos="495"/>
        </w:tabs>
        <w:ind w:left="495" w:hanging="495"/>
      </w:pPr>
      <w:rPr>
        <w:rFonts w:cs="Times New Roman" w:hint="default"/>
      </w:rPr>
    </w:lvl>
    <w:lvl w:ilvl="1">
      <w:start w:val="3"/>
      <w:numFmt w:val="decimal"/>
      <w:lvlText w:val="%1.%2."/>
      <w:lvlJc w:val="left"/>
      <w:pPr>
        <w:tabs>
          <w:tab w:val="num" w:pos="847"/>
        </w:tabs>
        <w:ind w:left="847" w:hanging="495"/>
      </w:pPr>
      <w:rPr>
        <w:rFonts w:cs="Times New Roman" w:hint="default"/>
      </w:rPr>
    </w:lvl>
    <w:lvl w:ilvl="2">
      <w:start w:val="1"/>
      <w:numFmt w:val="decimal"/>
      <w:lvlText w:val="%1.%2.%3)"/>
      <w:lvlJc w:val="left"/>
      <w:pPr>
        <w:tabs>
          <w:tab w:val="num" w:pos="1424"/>
        </w:tabs>
        <w:ind w:left="1424" w:hanging="720"/>
      </w:pPr>
      <w:rPr>
        <w:rFonts w:cs="Times New Roman" w:hint="default"/>
      </w:rPr>
    </w:lvl>
    <w:lvl w:ilvl="3">
      <w:start w:val="1"/>
      <w:numFmt w:val="decimal"/>
      <w:lvlText w:val="%1.%2.%3)%4."/>
      <w:lvlJc w:val="left"/>
      <w:pPr>
        <w:tabs>
          <w:tab w:val="num" w:pos="1776"/>
        </w:tabs>
        <w:ind w:left="1776" w:hanging="720"/>
      </w:pPr>
      <w:rPr>
        <w:rFonts w:cs="Times New Roman" w:hint="default"/>
      </w:rPr>
    </w:lvl>
    <w:lvl w:ilvl="4">
      <w:start w:val="1"/>
      <w:numFmt w:val="decimal"/>
      <w:lvlText w:val="%1.%2.%3)%4.%5."/>
      <w:lvlJc w:val="left"/>
      <w:pPr>
        <w:tabs>
          <w:tab w:val="num" w:pos="2488"/>
        </w:tabs>
        <w:ind w:left="2488" w:hanging="1080"/>
      </w:pPr>
      <w:rPr>
        <w:rFonts w:cs="Times New Roman" w:hint="default"/>
      </w:rPr>
    </w:lvl>
    <w:lvl w:ilvl="5">
      <w:start w:val="1"/>
      <w:numFmt w:val="decimal"/>
      <w:lvlText w:val="%1.%2.%3)%4.%5.%6."/>
      <w:lvlJc w:val="left"/>
      <w:pPr>
        <w:tabs>
          <w:tab w:val="num" w:pos="2840"/>
        </w:tabs>
        <w:ind w:left="2840" w:hanging="1080"/>
      </w:pPr>
      <w:rPr>
        <w:rFonts w:cs="Times New Roman" w:hint="default"/>
      </w:rPr>
    </w:lvl>
    <w:lvl w:ilvl="6">
      <w:start w:val="1"/>
      <w:numFmt w:val="decimal"/>
      <w:lvlText w:val="%1.%2.%3)%4.%5.%6.%7."/>
      <w:lvlJc w:val="left"/>
      <w:pPr>
        <w:tabs>
          <w:tab w:val="num" w:pos="3552"/>
        </w:tabs>
        <w:ind w:left="3552" w:hanging="1440"/>
      </w:pPr>
      <w:rPr>
        <w:rFonts w:cs="Times New Roman" w:hint="default"/>
      </w:rPr>
    </w:lvl>
    <w:lvl w:ilvl="7">
      <w:start w:val="1"/>
      <w:numFmt w:val="decimal"/>
      <w:lvlText w:val="%1.%2.%3)%4.%5.%6.%7.%8."/>
      <w:lvlJc w:val="left"/>
      <w:pPr>
        <w:tabs>
          <w:tab w:val="num" w:pos="3904"/>
        </w:tabs>
        <w:ind w:left="3904" w:hanging="1440"/>
      </w:pPr>
      <w:rPr>
        <w:rFonts w:cs="Times New Roman" w:hint="default"/>
      </w:rPr>
    </w:lvl>
    <w:lvl w:ilvl="8">
      <w:start w:val="1"/>
      <w:numFmt w:val="decimal"/>
      <w:lvlText w:val="%1.%2.%3)%4.%5.%6.%7.%8.%9."/>
      <w:lvlJc w:val="left"/>
      <w:pPr>
        <w:tabs>
          <w:tab w:val="num" w:pos="4616"/>
        </w:tabs>
        <w:ind w:left="4616" w:hanging="1800"/>
      </w:pPr>
      <w:rPr>
        <w:rFonts w:cs="Times New Roman" w:hint="default"/>
      </w:rPr>
    </w:lvl>
  </w:abstractNum>
  <w:abstractNum w:abstractNumId="31" w15:restartNumberingAfterBreak="0">
    <w:nsid w:val="64A1390F"/>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32" w15:restartNumberingAfterBreak="0">
    <w:nsid w:val="65B77312"/>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33" w15:restartNumberingAfterBreak="0">
    <w:nsid w:val="6CD75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334DFE"/>
    <w:multiLevelType w:val="multilevel"/>
    <w:tmpl w:val="AC166696"/>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3"/>
  </w:num>
  <w:num w:numId="3">
    <w:abstractNumId w:val="26"/>
  </w:num>
  <w:num w:numId="4">
    <w:abstractNumId w:val="32"/>
  </w:num>
  <w:num w:numId="5">
    <w:abstractNumId w:val="2"/>
  </w:num>
  <w:num w:numId="6">
    <w:abstractNumId w:val="4"/>
  </w:num>
  <w:num w:numId="7">
    <w:abstractNumId w:val="28"/>
  </w:num>
  <w:num w:numId="8">
    <w:abstractNumId w:val="13"/>
  </w:num>
  <w:num w:numId="9">
    <w:abstractNumId w:val="16"/>
  </w:num>
  <w:num w:numId="10">
    <w:abstractNumId w:val="1"/>
  </w:num>
  <w:num w:numId="11">
    <w:abstractNumId w:val="5"/>
  </w:num>
  <w:num w:numId="12">
    <w:abstractNumId w:val="8"/>
  </w:num>
  <w:num w:numId="13">
    <w:abstractNumId w:val="27"/>
  </w:num>
  <w:num w:numId="14">
    <w:abstractNumId w:val="19"/>
  </w:num>
  <w:num w:numId="15">
    <w:abstractNumId w:val="30"/>
  </w:num>
  <w:num w:numId="16">
    <w:abstractNumId w:val="22"/>
  </w:num>
  <w:num w:numId="17">
    <w:abstractNumId w:val="23"/>
  </w:num>
  <w:num w:numId="18">
    <w:abstractNumId w:val="29"/>
  </w:num>
  <w:num w:numId="19">
    <w:abstractNumId w:val="25"/>
  </w:num>
  <w:num w:numId="20">
    <w:abstractNumId w:val="18"/>
  </w:num>
  <w:num w:numId="21">
    <w:abstractNumId w:val="10"/>
  </w:num>
  <w:num w:numId="22">
    <w:abstractNumId w:val="34"/>
  </w:num>
  <w:num w:numId="23">
    <w:abstractNumId w:val="3"/>
  </w:num>
  <w:num w:numId="24">
    <w:abstractNumId w:val="14"/>
  </w:num>
  <w:num w:numId="25">
    <w:abstractNumId w:val="15"/>
  </w:num>
  <w:num w:numId="26">
    <w:abstractNumId w:val="31"/>
    <w:lvlOverride w:ilvl="0">
      <w:startOverride w:val="1"/>
    </w:lvlOverride>
  </w:num>
  <w:num w:numId="27">
    <w:abstractNumId w:val="9"/>
    <w:lvlOverride w:ilvl="0">
      <w:startOverride w:val="1"/>
    </w:lvlOverride>
  </w:num>
  <w:num w:numId="28">
    <w:abstractNumId w:val="7"/>
    <w:lvlOverride w:ilvl="0">
      <w:startOverride w:val="1"/>
    </w:lvlOverride>
  </w:num>
  <w:num w:numId="29">
    <w:abstractNumId w:val="24"/>
    <w:lvlOverride w:ilvl="0">
      <w:startOverride w:val="1"/>
    </w:lvlOverride>
  </w:num>
  <w:num w:numId="30">
    <w:abstractNumId w:val="12"/>
  </w:num>
  <w:num w:numId="31">
    <w:abstractNumId w:val="6"/>
  </w:num>
  <w:num w:numId="32">
    <w:abstractNumId w:val="20"/>
  </w:num>
  <w:num w:numId="33">
    <w:abstractNumId w:val="17"/>
  </w:num>
  <w:num w:numId="34">
    <w:abstractNumId w:val="2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769E6"/>
    <w:rsid w:val="003769E6"/>
    <w:rsid w:val="00C76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qFormat="1"/>
    <w:lsdException w:name="heading 8"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b/>
      <w:bCs/>
      <w:sz w:val="28"/>
      <w:szCs w:val="28"/>
    </w:rPr>
  </w:style>
  <w:style w:type="paragraph" w:styleId="Ttulo2">
    <w:name w:val="heading 2"/>
    <w:basedOn w:val="Normal"/>
    <w:next w:val="Normal"/>
    <w:link w:val="Ttulo2Char"/>
    <w:uiPriority w:val="99"/>
    <w:qFormat/>
    <w:pPr>
      <w:keepNext/>
      <w:jc w:val="right"/>
      <w:outlineLvl w:val="1"/>
    </w:pPr>
    <w:rPr>
      <w:rFonts w:ascii="Arial" w:hAnsi="Arial" w:cs="Arial"/>
      <w:b/>
      <w:bCs/>
    </w:rPr>
  </w:style>
  <w:style w:type="paragraph" w:styleId="Ttulo3">
    <w:name w:val="heading 3"/>
    <w:basedOn w:val="Normal"/>
    <w:next w:val="Normal"/>
    <w:link w:val="Ttulo3Char"/>
    <w:uiPriority w:val="99"/>
    <w:qFormat/>
    <w:pPr>
      <w:keepNext/>
      <w:jc w:val="both"/>
      <w:outlineLvl w:val="2"/>
    </w:pPr>
    <w:rPr>
      <w:rFonts w:ascii="Arial" w:hAnsi="Arial" w:cs="Arial"/>
      <w:b/>
      <w:bCs/>
    </w:rPr>
  </w:style>
  <w:style w:type="paragraph" w:styleId="Ttulo4">
    <w:name w:val="heading 4"/>
    <w:basedOn w:val="Normal"/>
    <w:next w:val="Normal"/>
    <w:link w:val="Ttulo4Char"/>
    <w:uiPriority w:val="99"/>
    <w:qFormat/>
    <w:pPr>
      <w:keepNext/>
      <w:spacing w:line="240" w:lineRule="exact"/>
      <w:jc w:val="both"/>
      <w:outlineLvl w:val="3"/>
    </w:pPr>
    <w:rPr>
      <w:b/>
      <w:bCs/>
      <w:sz w:val="24"/>
      <w:szCs w:val="24"/>
    </w:rPr>
  </w:style>
  <w:style w:type="paragraph" w:styleId="Ttulo5">
    <w:name w:val="heading 5"/>
    <w:basedOn w:val="Normal"/>
    <w:next w:val="Normal"/>
    <w:link w:val="Ttulo5Char"/>
    <w:uiPriority w:val="99"/>
    <w:qFormat/>
    <w:pPr>
      <w:keepNext/>
      <w:jc w:val="center"/>
      <w:outlineLvl w:val="4"/>
    </w:pPr>
    <w:rPr>
      <w:rFonts w:ascii="Arial" w:hAnsi="Arial" w:cs="Arial"/>
      <w:b/>
      <w:bCs/>
    </w:rPr>
  </w:style>
  <w:style w:type="paragraph" w:styleId="Ttulo7">
    <w:name w:val="heading 7"/>
    <w:basedOn w:val="Normal"/>
    <w:next w:val="Normal"/>
    <w:link w:val="Ttulo7Char"/>
    <w:uiPriority w:val="99"/>
    <w:qFormat/>
    <w:pPr>
      <w:keepNext/>
      <w:ind w:right="-234"/>
      <w:jc w:val="both"/>
      <w:outlineLvl w:val="6"/>
    </w:pPr>
    <w:rPr>
      <w:sz w:val="24"/>
      <w:szCs w:val="24"/>
    </w:rPr>
  </w:style>
  <w:style w:type="paragraph" w:styleId="Ttulo8">
    <w:name w:val="heading 8"/>
    <w:basedOn w:val="Normal"/>
    <w:next w:val="Normal"/>
    <w:link w:val="Ttulo8Char"/>
    <w:uiPriority w:val="99"/>
    <w:qFormat/>
    <w:pPr>
      <w:keepNext/>
      <w:jc w:val="center"/>
      <w:outlineLvl w:val="7"/>
    </w:pPr>
    <w:rPr>
      <w:b/>
      <w:bCs/>
      <w:caps/>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ind w:right="-234"/>
      <w:jc w:val="both"/>
    </w:pPr>
    <w:rPr>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Normal"/>
    <w:uiPriority w:val="99"/>
    <w:pPr>
      <w:spacing w:before="100" w:after="100"/>
    </w:pPr>
    <w:rPr>
      <w:sz w:val="24"/>
      <w:szCs w:val="24"/>
    </w:rPr>
  </w:style>
  <w:style w:type="paragraph" w:styleId="Recuodecorpodetexto2">
    <w:name w:val="Body Text Indent 2"/>
    <w:basedOn w:val="Normal"/>
    <w:link w:val="Recuodecorpodetexto2Char"/>
    <w:uiPriority w:val="99"/>
    <w:pPr>
      <w:ind w:firstLine="708"/>
      <w:jc w:val="both"/>
    </w:pPr>
    <w:rPr>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Forte">
    <w:name w:val="Strong"/>
    <w:basedOn w:val="Fontepargpadro"/>
    <w:uiPriority w:val="99"/>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853</Words>
  <Characters>4608</Characters>
  <Application>Microsoft Office Word</Application>
  <DocSecurity>0</DocSecurity>
  <Lines>38</Lines>
  <Paragraphs>10</Paragraphs>
  <ScaleCrop>false</ScaleCrop>
  <Company>BASF S.A.</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 </dc:title>
  <dc:subject/>
  <dc:creator>wanda</dc:creator>
  <cp:keywords/>
  <dc:description/>
  <cp:lastModifiedBy>Julia de Souza Ferreira</cp:lastModifiedBy>
  <cp:revision>2</cp:revision>
  <cp:lastPrinted>2003-11-12T17:07:00Z</cp:lastPrinted>
  <dcterms:created xsi:type="dcterms:W3CDTF">2018-11-27T16:07:00Z</dcterms:created>
  <dcterms:modified xsi:type="dcterms:W3CDTF">2018-11-27T16:07:00Z</dcterms:modified>
</cp:coreProperties>
</file>