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95697" w:rsidRDefault="00D4726F" w:rsidP="00E95697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95697">
        <w:rPr>
          <w:rFonts w:ascii="Times New Roman" w:hAnsi="Times New Roman" w:cs="Times New Roman"/>
          <w:b/>
          <w:szCs w:val="24"/>
        </w:rPr>
        <w:t>RESOLUÇÃO</w:t>
      </w:r>
      <w:r w:rsidR="00B00047" w:rsidRPr="00E95697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E95697">
        <w:rPr>
          <w:rFonts w:ascii="Times New Roman" w:hAnsi="Times New Roman" w:cs="Times New Roman"/>
          <w:b/>
          <w:szCs w:val="24"/>
        </w:rPr>
        <w:t xml:space="preserve"> – RDC Nº 46, DE 29 DE AGOSTO DE </w:t>
      </w:r>
      <w:proofErr w:type="gramStart"/>
      <w:r w:rsidRPr="00E95697">
        <w:rPr>
          <w:rFonts w:ascii="Times New Roman" w:hAnsi="Times New Roman" w:cs="Times New Roman"/>
          <w:b/>
          <w:szCs w:val="24"/>
        </w:rPr>
        <w:t>2012</w:t>
      </w:r>
      <w:proofErr w:type="gramEnd"/>
    </w:p>
    <w:p w:rsidR="00D4726F" w:rsidRPr="00E95697" w:rsidRDefault="00D4726F" w:rsidP="00D4726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569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5156BD" w:rsidRPr="00E95697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E9569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169, de 30 de agosto de 2012</w:t>
      </w:r>
      <w:proofErr w:type="gramStart"/>
      <w:r w:rsidRPr="00E9569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FE2E9F" w:rsidRPr="00E95697" w:rsidTr="005A3CAF">
        <w:trPr>
          <w:tblCellSpacing w:w="0" w:type="dxa"/>
        </w:trPr>
        <w:tc>
          <w:tcPr>
            <w:tcW w:w="2500" w:type="pct"/>
            <w:vAlign w:val="center"/>
            <w:hideMark/>
          </w:tcPr>
          <w:p w:rsidR="00FE2E9F" w:rsidRPr="00E95697" w:rsidRDefault="00FE2E9F" w:rsidP="005A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6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FE2E9F" w:rsidRPr="00E95697" w:rsidRDefault="00FE2E9F" w:rsidP="005A3C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Dispõe sobre oficialização de novos lotes de Substâncias Químicas de Referência da Farmacopeia Brasileira.</w:t>
            </w:r>
          </w:p>
        </w:tc>
      </w:tr>
    </w:tbl>
    <w:p w:rsidR="00FE2E9F" w:rsidRPr="00E95697" w:rsidRDefault="00E95697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</w:t>
      </w:r>
      <w:r w:rsidR="00FE2E9F" w:rsidRPr="00E95697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="00FE2E9F" w:rsidRPr="00E95697">
        <w:rPr>
          <w:rFonts w:ascii="Times New Roman" w:hAnsi="Times New Roman" w:cs="Times New Roman"/>
          <w:sz w:val="24"/>
          <w:szCs w:val="24"/>
        </w:rPr>
        <w:t xml:space="preserve">, no uso das atribuições que lhe conferem os incisos III e IV, do art. 15 da Lei nº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nº 9.782, de 1999, e o Programa de Melhoria do Processo de Regulamentação da Agência, instituído por meio da Portaria nº 422, de 16 de abril de 2008, em reunião realizada em 27 de agosto de </w:t>
      </w:r>
      <w:bookmarkStart w:id="0" w:name="_GoBack"/>
      <w:bookmarkEnd w:id="0"/>
      <w:r w:rsidR="00FE2E9F" w:rsidRPr="00E95697">
        <w:rPr>
          <w:rFonts w:ascii="Times New Roman" w:hAnsi="Times New Roman" w:cs="Times New Roman"/>
          <w:sz w:val="24"/>
          <w:szCs w:val="24"/>
        </w:rPr>
        <w:t xml:space="preserve">2012,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o disposto no inciso XIX, Art. 7º, da Lei nº 9.782, de 26 de janeiro de 1999 e no Regimento Interno da Comissão da Farmacopeia Brasileira, aprovado nos termos do Anexo da Portaria nº 782 da ANVISA, de 28 de junho de 2008, publicada no D.O.U. </w:t>
      </w:r>
      <w:proofErr w:type="gramStart"/>
      <w:r w:rsidRPr="00E95697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30 de junho de 2008;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a relevância do incremento do número de lotes disponíveis de substâncias químicas de referência na coleção de Substâncias Químicas de Referência da Farmacopeia Brasileira e a ampliação do fornecimento destas no mercado nacional; e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o parecer favorável do Comitê Técnico Temático de Substâncias Químicas de Referências da Comissão da Farmacopeia Brasileira à aprovação dos lotes de SQR estabelecidos,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E95697">
        <w:rPr>
          <w:rFonts w:ascii="Times New Roman" w:hAnsi="Times New Roman" w:cs="Times New Roman"/>
          <w:sz w:val="24"/>
          <w:szCs w:val="24"/>
        </w:rPr>
        <w:t xml:space="preserve"> a seguinte Resolução da Diretoria Colegiada (RDC) e eu, Diretor-Presidente, determino a sua publicação: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95697">
        <w:rPr>
          <w:rFonts w:ascii="Times New Roman" w:hAnsi="Times New Roman" w:cs="Times New Roman"/>
          <w:sz w:val="24"/>
          <w:szCs w:val="24"/>
        </w:rPr>
        <w:t xml:space="preserve">Art. 1º Ficam aprovados e oficializados os lotes de Substância Química de Referência (SQR) conforme relação descrita no Anexo. </w:t>
      </w:r>
    </w:p>
    <w:p w:rsidR="00FE2E9F" w:rsidRPr="00E95697" w:rsidRDefault="00FE2E9F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95697">
        <w:rPr>
          <w:rFonts w:ascii="Times New Roman" w:hAnsi="Times New Roman" w:cs="Times New Roman"/>
          <w:sz w:val="24"/>
          <w:szCs w:val="24"/>
        </w:rPr>
        <w:t xml:space="preserve">Art. 2º Tornar obrigatória a utilização das substâncias, de que trata o artigo anterior, nos testes e ensaios de controle de qualidade de insumos e especialidades farmacêuticas, em conformidade com a Farmacopeia Brasileira. </w:t>
      </w:r>
    </w:p>
    <w:p w:rsidR="00831BB0" w:rsidRPr="00E95697" w:rsidRDefault="00831BB0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5697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FE2E9F" w:rsidRPr="00E95697" w:rsidRDefault="008F02F5" w:rsidP="00FE2E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5697">
        <w:rPr>
          <w:rFonts w:ascii="Times New Roman" w:hAnsi="Times New Roman" w:cs="Times New Roman"/>
          <w:sz w:val="24"/>
          <w:szCs w:val="24"/>
        </w:rPr>
        <w:t xml:space="preserve">Art. 3º </w:t>
      </w:r>
      <w:r w:rsidR="00FE2E9F" w:rsidRPr="00E95697">
        <w:rPr>
          <w:rFonts w:ascii="Times New Roman" w:hAnsi="Times New Roman" w:cs="Times New Roman"/>
          <w:sz w:val="24"/>
          <w:szCs w:val="24"/>
        </w:rPr>
        <w:t xml:space="preserve">Esta Resolução entra em vigor na data de sua publicação. </w:t>
      </w:r>
      <w:r w:rsidR="0033630A" w:rsidRPr="00E9569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</w:t>
      </w:r>
      <w:r w:rsidR="00B00047" w:rsidRPr="00E95697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="0033630A" w:rsidRPr="00E9569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170, de 31 de agosto de 2012</w:t>
      </w:r>
      <w:proofErr w:type="gramStart"/>
      <w:r w:rsidR="0033630A" w:rsidRPr="00E9569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E2E9F" w:rsidRPr="00E95697" w:rsidRDefault="00FE2E9F" w:rsidP="00FE2E9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E95697">
        <w:rPr>
          <w:rFonts w:ascii="Times New Roman" w:hAnsi="Times New Roman" w:cs="Times New Roman"/>
          <w:sz w:val="24"/>
          <w:szCs w:val="24"/>
        </w:rPr>
        <w:lastRenderedPageBreak/>
        <w:t>DIRCEU BRÁS APARECIDO BARBANO</w:t>
      </w:r>
    </w:p>
    <w:p w:rsidR="00FE2E9F" w:rsidRPr="00E95697" w:rsidRDefault="00FE2E9F" w:rsidP="00FE2E9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FE2E9F" w:rsidRPr="00E95697" w:rsidRDefault="00FE2E9F" w:rsidP="00FE2E9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5697">
        <w:rPr>
          <w:rFonts w:ascii="Times New Roman" w:hAnsi="Times New Roman" w:cs="Times New Roman"/>
          <w:b/>
          <w:sz w:val="24"/>
          <w:szCs w:val="24"/>
        </w:rPr>
        <w:t>ANEXO – SUBSTÂNCIAS</w:t>
      </w:r>
      <w:proofErr w:type="gramEnd"/>
      <w:r w:rsidRPr="00E95697">
        <w:rPr>
          <w:rFonts w:ascii="Times New Roman" w:hAnsi="Times New Roman" w:cs="Times New Roman"/>
          <w:b/>
          <w:sz w:val="24"/>
          <w:szCs w:val="24"/>
        </w:rPr>
        <w:t xml:space="preserve"> QUÍMICAS DE REFERÊNCIA DA FARMACOPEIA BRASILEIRA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647D7" w:rsidRPr="00E95697" w:rsidTr="00B00047">
        <w:trPr>
          <w:trHeight w:val="75"/>
        </w:trPr>
        <w:tc>
          <w:tcPr>
            <w:tcW w:w="2881" w:type="dxa"/>
            <w:shd w:val="clear" w:color="auto" w:fill="D9D9D9" w:themeFill="background1" w:themeFillShade="D9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b/>
                <w:sz w:val="24"/>
                <w:szCs w:val="24"/>
              </w:rPr>
              <w:t>SQR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b/>
                <w:sz w:val="24"/>
                <w:szCs w:val="24"/>
              </w:rPr>
              <w:t>Lote (nº)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b/>
                <w:sz w:val="24"/>
                <w:szCs w:val="24"/>
              </w:rPr>
              <w:t>Origem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amoxicilina</w:t>
            </w:r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bromazepam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2042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cefadroxila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cetoconazol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2033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claritromicina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diazepam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2044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diclofenaco</w:t>
            </w:r>
            <w:proofErr w:type="spellEnd"/>
            <w:proofErr w:type="gramEnd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 xml:space="preserve"> potássico</w:t>
            </w:r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2053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lamivudina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1064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nifedipino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nimesulida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2049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piroxicam</w:t>
            </w:r>
            <w:proofErr w:type="spellEnd"/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  <w:tr w:rsidR="000647D7" w:rsidRPr="00E95697" w:rsidTr="000647D7">
        <w:trPr>
          <w:trHeight w:val="75"/>
        </w:trPr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prednisona</w:t>
            </w:r>
            <w:proofErr w:type="gramEnd"/>
          </w:p>
        </w:tc>
        <w:tc>
          <w:tcPr>
            <w:tcW w:w="2881" w:type="dxa"/>
          </w:tcPr>
          <w:p w:rsidR="000647D7" w:rsidRPr="00E95697" w:rsidRDefault="000647D7" w:rsidP="000647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2037</w:t>
            </w:r>
          </w:p>
        </w:tc>
        <w:tc>
          <w:tcPr>
            <w:tcW w:w="2882" w:type="dxa"/>
          </w:tcPr>
          <w:p w:rsidR="000647D7" w:rsidRPr="00E95697" w:rsidRDefault="000647D7" w:rsidP="00064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697">
              <w:rPr>
                <w:rFonts w:ascii="Times New Roman" w:hAnsi="Times New Roman" w:cs="Times New Roman"/>
                <w:sz w:val="24"/>
                <w:szCs w:val="24"/>
              </w:rPr>
              <w:t>Farmacopeia Brasileira</w:t>
            </w:r>
          </w:p>
        </w:tc>
      </w:tr>
    </w:tbl>
    <w:p w:rsidR="000647D7" w:rsidRPr="00E95697" w:rsidRDefault="000647D7" w:rsidP="000647D7">
      <w:pPr>
        <w:spacing w:before="300" w:after="30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647D7" w:rsidRPr="00E95697" w:rsidSect="00E956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97" w:rsidRDefault="00E95697" w:rsidP="00E95697">
      <w:pPr>
        <w:spacing w:after="0" w:line="240" w:lineRule="auto"/>
      </w:pPr>
      <w:r>
        <w:separator/>
      </w:r>
    </w:p>
  </w:endnote>
  <w:endnote w:type="continuationSeparator" w:id="0">
    <w:p w:rsidR="00E95697" w:rsidRDefault="00E95697" w:rsidP="00E9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697" w:rsidRPr="00E95697" w:rsidRDefault="00E95697" w:rsidP="00E9569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97" w:rsidRDefault="00E95697" w:rsidP="00E95697">
      <w:pPr>
        <w:spacing w:after="0" w:line="240" w:lineRule="auto"/>
      </w:pPr>
      <w:r>
        <w:separator/>
      </w:r>
    </w:p>
  </w:footnote>
  <w:footnote w:type="continuationSeparator" w:id="0">
    <w:p w:rsidR="00E95697" w:rsidRDefault="00E95697" w:rsidP="00E9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697" w:rsidRDefault="00E95697" w:rsidP="00E9569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95697" w:rsidRDefault="00E95697" w:rsidP="00E9569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E95697" w:rsidRDefault="00E95697" w:rsidP="00E9569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95697" w:rsidRDefault="00E956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6F"/>
    <w:rsid w:val="000647D7"/>
    <w:rsid w:val="001E708B"/>
    <w:rsid w:val="0033630A"/>
    <w:rsid w:val="005156BD"/>
    <w:rsid w:val="007441BF"/>
    <w:rsid w:val="00786686"/>
    <w:rsid w:val="00831BB0"/>
    <w:rsid w:val="008F02F5"/>
    <w:rsid w:val="00B00047"/>
    <w:rsid w:val="00B30817"/>
    <w:rsid w:val="00C61AE0"/>
    <w:rsid w:val="00D4726F"/>
    <w:rsid w:val="00D621E1"/>
    <w:rsid w:val="00DF124D"/>
    <w:rsid w:val="00E95697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9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697"/>
  </w:style>
  <w:style w:type="paragraph" w:styleId="Rodap">
    <w:name w:val="footer"/>
    <w:basedOn w:val="Normal"/>
    <w:link w:val="RodapChar"/>
    <w:uiPriority w:val="99"/>
    <w:unhideWhenUsed/>
    <w:rsid w:val="00E9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697"/>
  </w:style>
  <w:style w:type="paragraph" w:styleId="Textodebalo">
    <w:name w:val="Balloon Text"/>
    <w:basedOn w:val="Normal"/>
    <w:link w:val="TextodebaloChar"/>
    <w:uiPriority w:val="99"/>
    <w:semiHidden/>
    <w:unhideWhenUsed/>
    <w:rsid w:val="00E9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9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697"/>
  </w:style>
  <w:style w:type="paragraph" w:styleId="Rodap">
    <w:name w:val="footer"/>
    <w:basedOn w:val="Normal"/>
    <w:link w:val="RodapChar"/>
    <w:uiPriority w:val="99"/>
    <w:unhideWhenUsed/>
    <w:rsid w:val="00E9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697"/>
  </w:style>
  <w:style w:type="paragraph" w:styleId="Textodebalo">
    <w:name w:val="Balloon Text"/>
    <w:basedOn w:val="Normal"/>
    <w:link w:val="TextodebaloChar"/>
    <w:uiPriority w:val="99"/>
    <w:semiHidden/>
    <w:unhideWhenUsed/>
    <w:rsid w:val="00E9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85A8F-678C-4617-8FD0-1B0E388DA613}"/>
</file>

<file path=customXml/itemProps2.xml><?xml version="1.0" encoding="utf-8"?>
<ds:datastoreItem xmlns:ds="http://schemas.openxmlformats.org/officeDocument/2006/customXml" ds:itemID="{BC1833D2-D8BC-49FA-89B1-860C77175DE9}"/>
</file>

<file path=customXml/itemProps3.xml><?xml version="1.0" encoding="utf-8"?>
<ds:datastoreItem xmlns:ds="http://schemas.openxmlformats.org/officeDocument/2006/customXml" ds:itemID="{C0C574D3-1BCC-444F-8EC4-6715612AED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9</cp:revision>
  <cp:lastPrinted>2016-10-21T20:38:00Z</cp:lastPrinted>
  <dcterms:created xsi:type="dcterms:W3CDTF">2015-09-16T01:49:00Z</dcterms:created>
  <dcterms:modified xsi:type="dcterms:W3CDTF">2016-10-21T20:38:00Z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