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99F" w:rsidRPr="00210CA5" w:rsidRDefault="00E5099F" w:rsidP="00210CA5">
      <w:pPr>
        <w:pStyle w:val="Ttulo1"/>
        <w:ind w:left="-284" w:right="-285"/>
        <w:divId w:val="1138259533"/>
        <w:rPr>
          <w:rFonts w:ascii="Times New Roman" w:hAnsi="Times New Roman" w:cs="Times New Roman"/>
          <w:spacing w:val="-2"/>
          <w:sz w:val="22"/>
        </w:rPr>
      </w:pPr>
      <w:bookmarkStart w:id="0" w:name="_GoBack"/>
      <w:bookmarkEnd w:id="0"/>
      <w:r w:rsidRPr="00210CA5">
        <w:rPr>
          <w:rFonts w:ascii="Times New Roman" w:hAnsi="Times New Roman" w:cs="Times New Roman"/>
          <w:spacing w:val="-2"/>
          <w:sz w:val="22"/>
        </w:rPr>
        <w:t>RESOLUÇÃO</w:t>
      </w:r>
      <w:r w:rsidR="009E09C4" w:rsidRPr="00210CA5">
        <w:rPr>
          <w:rFonts w:ascii="Times New Roman" w:hAnsi="Times New Roman" w:cs="Times New Roman"/>
          <w:spacing w:val="-2"/>
          <w:sz w:val="22"/>
        </w:rPr>
        <w:t xml:space="preserve"> DE DIRETORIA COLEGIADA</w:t>
      </w:r>
      <w:r w:rsidR="00210CA5" w:rsidRPr="00210CA5">
        <w:rPr>
          <w:rFonts w:ascii="Times New Roman" w:hAnsi="Times New Roman" w:cs="Times New Roman"/>
          <w:spacing w:val="-2"/>
          <w:sz w:val="22"/>
        </w:rPr>
        <w:t xml:space="preserve"> - RDC Nº 51, DE </w:t>
      </w:r>
      <w:r w:rsidRPr="00210CA5">
        <w:rPr>
          <w:rFonts w:ascii="Times New Roman" w:hAnsi="Times New Roman" w:cs="Times New Roman"/>
          <w:spacing w:val="-2"/>
          <w:sz w:val="22"/>
        </w:rPr>
        <w:t>7 DE NOVEMBRO DE 2013</w:t>
      </w:r>
    </w:p>
    <w:p w:rsidR="007B2F30" w:rsidRPr="007B2F30" w:rsidRDefault="007B2F30" w:rsidP="00AB5BE0">
      <w:pPr>
        <w:pStyle w:val="Ttulo1"/>
        <w:divId w:val="1138259533"/>
        <w:rPr>
          <w:rFonts w:ascii="Times New Roman" w:hAnsi="Times New Roman" w:cs="Times New Roman"/>
          <w:bCs w:val="0"/>
          <w:caps w:val="0"/>
          <w:color w:val="0000FF"/>
          <w:kern w:val="0"/>
          <w:sz w:val="24"/>
          <w:szCs w:val="24"/>
        </w:rPr>
      </w:pPr>
      <w:r w:rsidRPr="007B2F30">
        <w:rPr>
          <w:rFonts w:ascii="Times New Roman" w:hAnsi="Times New Roman" w:cs="Times New Roman"/>
          <w:bCs w:val="0"/>
          <w:caps w:val="0"/>
          <w:color w:val="0000FF"/>
          <w:kern w:val="0"/>
          <w:sz w:val="24"/>
          <w:szCs w:val="24"/>
        </w:rPr>
        <w:t>(Publicada em DOU nº 221, de 13 de novembro de 2013)</w:t>
      </w:r>
    </w:p>
    <w:p w:rsidR="007B2F30" w:rsidRPr="007B2F30" w:rsidRDefault="007B2F30" w:rsidP="00127F8E">
      <w:pPr>
        <w:pStyle w:val="Ttulo1"/>
        <w:divId w:val="1138259533"/>
        <w:rPr>
          <w:rFonts w:ascii="Times New Roman" w:hAnsi="Times New Roman" w:cs="Times New Roman"/>
          <w:bCs w:val="0"/>
          <w:caps w:val="0"/>
          <w:color w:val="0000FF"/>
          <w:kern w:val="0"/>
          <w:sz w:val="24"/>
          <w:szCs w:val="24"/>
        </w:rPr>
      </w:pPr>
      <w:r w:rsidRPr="007B2F30">
        <w:rPr>
          <w:rFonts w:ascii="Times New Roman" w:hAnsi="Times New Roman" w:cs="Times New Roman"/>
          <w:bCs w:val="0"/>
          <w:caps w:val="0"/>
          <w:color w:val="0000FF"/>
          <w:kern w:val="0"/>
          <w:sz w:val="24"/>
          <w:szCs w:val="24"/>
        </w:rPr>
        <w:t>(Revogada pela</w:t>
      </w:r>
      <w:r>
        <w:rPr>
          <w:rFonts w:ascii="Times New Roman" w:hAnsi="Times New Roman" w:cs="Times New Roman"/>
          <w:bCs w:val="0"/>
          <w:caps w:val="0"/>
          <w:color w:val="0000FF"/>
          <w:kern w:val="0"/>
          <w:sz w:val="24"/>
          <w:szCs w:val="24"/>
        </w:rPr>
        <w:t xml:space="preserve"> R</w:t>
      </w:r>
      <w:r w:rsidRPr="007B2F30">
        <w:rPr>
          <w:rFonts w:ascii="Times New Roman" w:hAnsi="Times New Roman" w:cs="Times New Roman"/>
          <w:bCs w:val="0"/>
          <w:caps w:val="0"/>
          <w:color w:val="0000FF"/>
          <w:kern w:val="0"/>
          <w:sz w:val="24"/>
          <w:szCs w:val="24"/>
        </w:rPr>
        <w:t>esolução -</w:t>
      </w:r>
      <w:r w:rsidR="00AC6DE3">
        <w:rPr>
          <w:rFonts w:ascii="Times New Roman" w:hAnsi="Times New Roman" w:cs="Times New Roman"/>
          <w:bCs w:val="0"/>
          <w:caps w:val="0"/>
          <w:color w:val="0000FF"/>
          <w:kern w:val="0"/>
          <w:sz w:val="24"/>
          <w:szCs w:val="24"/>
        </w:rPr>
        <w:t xml:space="preserve"> RDC n</w:t>
      </w:r>
      <w:r w:rsidRPr="007B2F30">
        <w:rPr>
          <w:rFonts w:ascii="Times New Roman" w:hAnsi="Times New Roman" w:cs="Times New Roman"/>
          <w:bCs w:val="0"/>
          <w:caps w:val="0"/>
          <w:color w:val="0000FF"/>
          <w:kern w:val="0"/>
          <w:sz w:val="24"/>
          <w:szCs w:val="24"/>
        </w:rPr>
        <w:t>º 34, de 11</w:t>
      </w:r>
      <w:r w:rsidR="00127F8E">
        <w:rPr>
          <w:rFonts w:ascii="Times New Roman" w:hAnsi="Times New Roman" w:cs="Times New Roman"/>
          <w:bCs w:val="0"/>
          <w:caps w:val="0"/>
          <w:color w:val="0000FF"/>
          <w:kern w:val="0"/>
          <w:sz w:val="24"/>
          <w:szCs w:val="24"/>
        </w:rPr>
        <w:t xml:space="preserve"> de junho de 2014</w:t>
      </w:r>
      <w:r w:rsidRPr="007B2F30">
        <w:rPr>
          <w:rFonts w:ascii="Times New Roman" w:hAnsi="Times New Roman" w:cs="Times New Roman"/>
          <w:bCs w:val="0"/>
          <w:caps w:val="0"/>
          <w:color w:val="0000FF"/>
          <w:kern w:val="0"/>
          <w:sz w:val="24"/>
          <w:szCs w:val="24"/>
        </w:rPr>
        <w:t>)</w:t>
      </w:r>
    </w:p>
    <w:p w:rsidR="00E5099F" w:rsidRPr="007A42A3" w:rsidRDefault="00AB5BE0" w:rsidP="00210CA5">
      <w:pPr>
        <w:tabs>
          <w:tab w:val="right" w:pos="142"/>
          <w:tab w:val="left" w:pos="1276"/>
          <w:tab w:val="right" w:pos="4536"/>
        </w:tabs>
        <w:autoSpaceDE w:val="0"/>
        <w:autoSpaceDN w:val="0"/>
        <w:adjustRightInd w:val="0"/>
        <w:ind w:left="3828"/>
        <w:jc w:val="both"/>
        <w:divId w:val="1138259533"/>
        <w:rPr>
          <w:strike/>
        </w:rPr>
      </w:pPr>
      <w:r w:rsidRPr="00AB5BE0">
        <w:tab/>
      </w:r>
      <w:r w:rsidR="00E5099F" w:rsidRPr="007A42A3">
        <w:rPr>
          <w:strike/>
        </w:rPr>
        <w:t>Altera a Resolução - RDC nº 57, de 16 de dezembro de 2010, que determina o Regulamento Sanitário para Serviços que desenvolvem atividades relacionadas ao ciclo produtivo do sangue humano e componentes e procedimentos transfusionais.</w:t>
      </w:r>
    </w:p>
    <w:p w:rsidR="00E5099F" w:rsidRPr="007A42A3" w:rsidRDefault="00E5099F" w:rsidP="00E5099F">
      <w:pPr>
        <w:tabs>
          <w:tab w:val="right" w:pos="142"/>
          <w:tab w:val="left" w:pos="1276"/>
          <w:tab w:val="right" w:pos="4536"/>
        </w:tabs>
        <w:autoSpaceDE w:val="0"/>
        <w:autoSpaceDN w:val="0"/>
        <w:adjustRightInd w:val="0"/>
        <w:ind w:firstLine="567"/>
        <w:jc w:val="both"/>
        <w:divId w:val="1138259533"/>
        <w:rPr>
          <w:strike/>
        </w:rPr>
      </w:pPr>
      <w:r w:rsidRPr="007A42A3">
        <w:rPr>
          <w:strike/>
        </w:rPr>
        <w:t>A Diretoria Colegiada da Agência Nacional de Vigilância Sanitária,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07 de novembro de 2013, adota a seguinte Resolução da Diretoria Colegiada e eu, Diretor-Presidente, determino a sua publicação:</w:t>
      </w:r>
    </w:p>
    <w:p w:rsidR="00E5099F" w:rsidRPr="007A42A3" w:rsidRDefault="00E5099F" w:rsidP="00E5099F">
      <w:pPr>
        <w:tabs>
          <w:tab w:val="right" w:pos="142"/>
          <w:tab w:val="left" w:pos="1276"/>
          <w:tab w:val="right" w:pos="4536"/>
        </w:tabs>
        <w:autoSpaceDE w:val="0"/>
        <w:autoSpaceDN w:val="0"/>
        <w:adjustRightInd w:val="0"/>
        <w:ind w:firstLine="567"/>
        <w:jc w:val="both"/>
        <w:divId w:val="1138259533"/>
        <w:rPr>
          <w:strike/>
        </w:rPr>
      </w:pPr>
      <w:r w:rsidRPr="007A42A3">
        <w:rPr>
          <w:strike/>
        </w:rPr>
        <w:t>Art. 1º. O art. 89 da Resolução – RDC nº 57/2010 de 16 de dezembro de 2010 passa a vigorar com a seguinte redação:</w:t>
      </w:r>
    </w:p>
    <w:p w:rsidR="00E5099F" w:rsidRPr="007A42A3" w:rsidRDefault="00E5099F" w:rsidP="00E5099F">
      <w:pPr>
        <w:pStyle w:val="NormalWeb"/>
        <w:tabs>
          <w:tab w:val="right" w:pos="142"/>
          <w:tab w:val="left" w:pos="1276"/>
          <w:tab w:val="right" w:pos="4536"/>
        </w:tabs>
        <w:ind w:left="1134"/>
        <w:divId w:val="1138259533"/>
        <w:rPr>
          <w:rFonts w:ascii="Times New Roman" w:hAnsi="Times New Roman" w:cs="Times New Roman"/>
          <w:strike/>
          <w:sz w:val="24"/>
          <w:szCs w:val="24"/>
        </w:rPr>
      </w:pPr>
      <w:r w:rsidRPr="007A42A3">
        <w:rPr>
          <w:rFonts w:ascii="Times New Roman" w:hAnsi="Times New Roman" w:cs="Times New Roman"/>
          <w:strike/>
          <w:sz w:val="24"/>
          <w:szCs w:val="24"/>
        </w:rPr>
        <w:t>“Art. 89. A cada doação devem ser realizados obrigatoriamente testes laboratoriais de triagem de alta sensibilidade, para detecção de marcadores para as seguintes doenças infecciosas transmissíveis pelo sangue,</w:t>
      </w:r>
      <w:r w:rsidRPr="007A42A3">
        <w:rPr>
          <w:rFonts w:ascii="Times New Roman" w:hAnsi="Times New Roman" w:cs="Times New Roman"/>
          <w:strike/>
          <w:color w:val="0070C0"/>
          <w:sz w:val="24"/>
          <w:szCs w:val="24"/>
        </w:rPr>
        <w:t xml:space="preserve"> </w:t>
      </w:r>
      <w:r w:rsidRPr="007A42A3">
        <w:rPr>
          <w:rFonts w:ascii="Times New Roman" w:hAnsi="Times New Roman" w:cs="Times New Roman"/>
          <w:strike/>
          <w:sz w:val="24"/>
          <w:szCs w:val="24"/>
        </w:rPr>
        <w:t xml:space="preserve">independente dos resultados de doações anteriores, segundo critérios determinados nesta Resolução e nas demais normas do Ministério da Saúde: </w:t>
      </w:r>
    </w:p>
    <w:p w:rsidR="00E5099F" w:rsidRPr="007A42A3" w:rsidRDefault="00E5099F" w:rsidP="00E5099F">
      <w:pPr>
        <w:pStyle w:val="NormalWeb"/>
        <w:tabs>
          <w:tab w:val="right" w:pos="142"/>
          <w:tab w:val="left" w:pos="1276"/>
          <w:tab w:val="right" w:pos="4536"/>
        </w:tabs>
        <w:ind w:left="1134"/>
        <w:divId w:val="1138259533"/>
        <w:rPr>
          <w:rFonts w:ascii="Times New Roman" w:hAnsi="Times New Roman" w:cs="Times New Roman"/>
          <w:strike/>
          <w:sz w:val="24"/>
          <w:szCs w:val="24"/>
        </w:rPr>
      </w:pPr>
      <w:r w:rsidRPr="007A42A3">
        <w:rPr>
          <w:rFonts w:ascii="Times New Roman" w:hAnsi="Times New Roman" w:cs="Times New Roman"/>
          <w:strike/>
          <w:sz w:val="24"/>
          <w:szCs w:val="24"/>
        </w:rPr>
        <w:t>I - ........................</w:t>
      </w:r>
    </w:p>
    <w:p w:rsidR="00E5099F" w:rsidRPr="007A42A3" w:rsidRDefault="00E5099F" w:rsidP="00E5099F">
      <w:pPr>
        <w:pStyle w:val="NormalWeb"/>
        <w:tabs>
          <w:tab w:val="right" w:pos="142"/>
          <w:tab w:val="left" w:pos="1276"/>
          <w:tab w:val="right" w:pos="4536"/>
        </w:tabs>
        <w:ind w:left="1134"/>
        <w:divId w:val="1138259533"/>
        <w:rPr>
          <w:rFonts w:ascii="Times New Roman" w:hAnsi="Times New Roman" w:cs="Times New Roman"/>
          <w:strike/>
          <w:sz w:val="24"/>
          <w:szCs w:val="24"/>
        </w:rPr>
      </w:pPr>
      <w:r w:rsidRPr="007A42A3">
        <w:rPr>
          <w:rFonts w:ascii="Times New Roman" w:hAnsi="Times New Roman" w:cs="Times New Roman"/>
          <w:strike/>
          <w:sz w:val="24"/>
          <w:szCs w:val="24"/>
        </w:rPr>
        <w:t>II - ......................</w:t>
      </w:r>
    </w:p>
    <w:p w:rsidR="00E5099F" w:rsidRPr="007A42A3" w:rsidRDefault="00E5099F" w:rsidP="00E5099F">
      <w:pPr>
        <w:pStyle w:val="NormalWeb"/>
        <w:tabs>
          <w:tab w:val="right" w:pos="142"/>
          <w:tab w:val="left" w:pos="1276"/>
          <w:tab w:val="right" w:pos="4536"/>
        </w:tabs>
        <w:ind w:left="1134"/>
        <w:divId w:val="1138259533"/>
        <w:rPr>
          <w:rFonts w:ascii="Times New Roman" w:hAnsi="Times New Roman" w:cs="Times New Roman"/>
          <w:strike/>
          <w:sz w:val="24"/>
          <w:szCs w:val="24"/>
        </w:rPr>
      </w:pPr>
      <w:r w:rsidRPr="007A42A3">
        <w:rPr>
          <w:rFonts w:ascii="Times New Roman" w:hAnsi="Times New Roman" w:cs="Times New Roman"/>
          <w:strike/>
          <w:sz w:val="24"/>
          <w:szCs w:val="24"/>
        </w:rPr>
        <w:t>III - Hepatite B (HBV): 1 (um) teste para detecção do antígeno de superfície do vírus da hepatite B (HBsAg) e 1(um) teste para detecção de anticorpo contra o capsídeo do vírus da hepatite B (anti-HBc), com pesquisa de IgG ou IgG + IgM;</w:t>
      </w:r>
    </w:p>
    <w:p w:rsidR="00E5099F" w:rsidRPr="007A42A3" w:rsidRDefault="00E5099F" w:rsidP="00E5099F">
      <w:pPr>
        <w:pStyle w:val="NormalWeb"/>
        <w:tabs>
          <w:tab w:val="right" w:pos="142"/>
          <w:tab w:val="left" w:pos="1276"/>
          <w:tab w:val="right" w:pos="4536"/>
        </w:tabs>
        <w:ind w:left="1134"/>
        <w:divId w:val="1138259533"/>
        <w:rPr>
          <w:rFonts w:ascii="Times New Roman" w:hAnsi="Times New Roman" w:cs="Times New Roman"/>
          <w:strike/>
          <w:sz w:val="24"/>
          <w:szCs w:val="24"/>
        </w:rPr>
      </w:pPr>
      <w:r w:rsidRPr="007A42A3">
        <w:rPr>
          <w:rFonts w:ascii="Times New Roman" w:hAnsi="Times New Roman" w:cs="Times New Roman"/>
          <w:strike/>
          <w:sz w:val="24"/>
          <w:szCs w:val="24"/>
        </w:rPr>
        <w:t xml:space="preserve">IV - Hepatite C: 2(dois) testes em paralelo: sendo 1 (um) teste para detecção de anticorpo anti-HCV ou para detecção combinada de </w:t>
      </w:r>
      <w:r w:rsidRPr="007A42A3">
        <w:rPr>
          <w:rFonts w:ascii="Times New Roman" w:hAnsi="Times New Roman" w:cs="Times New Roman"/>
          <w:strike/>
          <w:sz w:val="24"/>
          <w:szCs w:val="24"/>
        </w:rPr>
        <w:lastRenderedPageBreak/>
        <w:t>antígeno/anticorpo; e 1(um) teste para detecção de ácido nucleico do vírus HCV por técnica de biologia molecular.</w:t>
      </w:r>
    </w:p>
    <w:p w:rsidR="00E5099F" w:rsidRPr="007A42A3" w:rsidRDefault="007A42A3" w:rsidP="00E5099F">
      <w:pPr>
        <w:tabs>
          <w:tab w:val="right" w:pos="142"/>
          <w:tab w:val="left" w:pos="1276"/>
          <w:tab w:val="right" w:pos="4536"/>
        </w:tabs>
        <w:ind w:left="1134"/>
        <w:jc w:val="both"/>
        <w:divId w:val="1138259533"/>
        <w:rPr>
          <w:strike/>
        </w:rPr>
      </w:pPr>
      <w:r w:rsidRPr="007A42A3">
        <w:rPr>
          <w:strike/>
        </w:rPr>
        <w:t xml:space="preserve">         </w:t>
      </w:r>
      <w:r w:rsidR="00E5099F" w:rsidRPr="007A42A3">
        <w:rPr>
          <w:strike/>
        </w:rPr>
        <w:t>V - HIV 1 e 2: 2(dois) testes em paralelo: sendo 1(um) teste para detecção de anticorpo anti-HIV (que inclua a detecção do grupo O) ou 1(um) teste para detecção combinada de antígeno/anticorpo (que inclua a detecção do grupo O); e 1(um) teste para detecção de ácido nucleico do vírus HIV por técnica de biologia molecular.</w:t>
      </w:r>
    </w:p>
    <w:p w:rsidR="00E5099F" w:rsidRPr="007A42A3" w:rsidRDefault="00E5099F" w:rsidP="00E5099F">
      <w:pPr>
        <w:pStyle w:val="NormalWeb"/>
        <w:tabs>
          <w:tab w:val="right" w:pos="142"/>
          <w:tab w:val="left" w:pos="1276"/>
          <w:tab w:val="right" w:pos="4536"/>
        </w:tabs>
        <w:ind w:left="1134"/>
        <w:divId w:val="1138259533"/>
        <w:rPr>
          <w:rFonts w:ascii="Times New Roman" w:hAnsi="Times New Roman" w:cs="Times New Roman"/>
          <w:strike/>
          <w:sz w:val="24"/>
          <w:szCs w:val="24"/>
        </w:rPr>
      </w:pPr>
      <w:r w:rsidRPr="007A42A3">
        <w:rPr>
          <w:rFonts w:ascii="Times New Roman" w:hAnsi="Times New Roman" w:cs="Times New Roman"/>
          <w:strike/>
          <w:sz w:val="24"/>
          <w:szCs w:val="24"/>
        </w:rPr>
        <w:t>VI - ........................</w:t>
      </w:r>
    </w:p>
    <w:p w:rsidR="00E5099F" w:rsidRPr="007A42A3" w:rsidRDefault="00E5099F" w:rsidP="00E5099F">
      <w:pPr>
        <w:pStyle w:val="NormalWeb"/>
        <w:tabs>
          <w:tab w:val="right" w:pos="142"/>
          <w:tab w:val="left" w:pos="1276"/>
          <w:tab w:val="right" w:pos="4536"/>
        </w:tabs>
        <w:ind w:left="1134"/>
        <w:divId w:val="1138259533"/>
        <w:rPr>
          <w:rFonts w:ascii="Times New Roman" w:hAnsi="Times New Roman" w:cs="Times New Roman"/>
          <w:strike/>
          <w:sz w:val="24"/>
          <w:szCs w:val="24"/>
        </w:rPr>
      </w:pPr>
      <w:r w:rsidRPr="007A42A3">
        <w:rPr>
          <w:rFonts w:ascii="Times New Roman" w:hAnsi="Times New Roman" w:cs="Times New Roman"/>
          <w:strike/>
          <w:sz w:val="24"/>
          <w:szCs w:val="24"/>
        </w:rPr>
        <w:t>§ 1º No caso de incorporação de teste para detecção de ácido nucleico do vírus HBV por técnica de biologia molecular, este deve ser utilizado como teste adicional à detecção de HBsAg e anti-HBC e utilizando conjuntos de reagentes registrados/autorizados pela ANVISA para triagem de doadores de sangue.</w:t>
      </w:r>
    </w:p>
    <w:p w:rsidR="00E5099F" w:rsidRPr="007A42A3" w:rsidRDefault="00E5099F" w:rsidP="00E5099F">
      <w:pPr>
        <w:pStyle w:val="NormalWeb"/>
        <w:tabs>
          <w:tab w:val="right" w:pos="142"/>
          <w:tab w:val="left" w:pos="1276"/>
          <w:tab w:val="right" w:pos="4536"/>
        </w:tabs>
        <w:ind w:left="1134"/>
        <w:divId w:val="1138259533"/>
        <w:rPr>
          <w:rFonts w:ascii="Times New Roman" w:hAnsi="Times New Roman" w:cs="Times New Roman"/>
          <w:strike/>
          <w:sz w:val="24"/>
          <w:szCs w:val="24"/>
        </w:rPr>
      </w:pPr>
      <w:r w:rsidRPr="007A42A3">
        <w:rPr>
          <w:rFonts w:ascii="Times New Roman" w:hAnsi="Times New Roman" w:cs="Times New Roman"/>
          <w:strike/>
          <w:sz w:val="24"/>
          <w:szCs w:val="24"/>
        </w:rPr>
        <w:t>§ 2º Nas regiões endêmicas de malária com transmissão ativa deve ser realizado a detecção de plasmódio ou antígenos plasmodiais.</w:t>
      </w:r>
    </w:p>
    <w:p w:rsidR="00E5099F" w:rsidRPr="007A42A3" w:rsidRDefault="00E5099F" w:rsidP="00E5099F">
      <w:pPr>
        <w:pStyle w:val="NormalWeb"/>
        <w:tabs>
          <w:tab w:val="right" w:pos="142"/>
          <w:tab w:val="left" w:pos="1276"/>
          <w:tab w:val="right" w:pos="4536"/>
        </w:tabs>
        <w:ind w:left="1134"/>
        <w:divId w:val="1138259533"/>
        <w:rPr>
          <w:rFonts w:ascii="Times New Roman" w:hAnsi="Times New Roman" w:cs="Times New Roman"/>
          <w:strike/>
          <w:sz w:val="24"/>
          <w:szCs w:val="24"/>
        </w:rPr>
      </w:pPr>
      <w:r w:rsidRPr="007A42A3">
        <w:rPr>
          <w:rFonts w:ascii="Times New Roman" w:hAnsi="Times New Roman" w:cs="Times New Roman"/>
          <w:strike/>
          <w:sz w:val="24"/>
          <w:szCs w:val="24"/>
        </w:rPr>
        <w:t>§ 3º A detecção do Citomegalovírus (CMV) deve ser realizada em todas as unidades de sangue destinadas a pacientes nas situações previstas pelo Ministério da Saúde.”(NR)</w:t>
      </w:r>
    </w:p>
    <w:p w:rsidR="00E5099F" w:rsidRPr="007A42A3" w:rsidRDefault="00E5099F" w:rsidP="00E5099F">
      <w:pPr>
        <w:pStyle w:val="Default"/>
        <w:tabs>
          <w:tab w:val="right" w:pos="142"/>
          <w:tab w:val="left" w:pos="1276"/>
          <w:tab w:val="right" w:pos="4536"/>
        </w:tabs>
        <w:spacing w:before="100" w:beforeAutospacing="1" w:after="100" w:afterAutospacing="1"/>
        <w:ind w:firstLine="567"/>
        <w:jc w:val="both"/>
        <w:divId w:val="1138259533"/>
        <w:rPr>
          <w:rFonts w:ascii="Times New Roman" w:hAnsi="Times New Roman" w:cs="Times New Roman"/>
          <w:strike/>
          <w:color w:val="auto"/>
        </w:rPr>
      </w:pPr>
      <w:r w:rsidRPr="007A42A3">
        <w:rPr>
          <w:rFonts w:ascii="Times New Roman" w:hAnsi="Times New Roman" w:cs="Times New Roman"/>
          <w:strike/>
          <w:color w:val="auto"/>
          <w:lang w:bidi="ug-CN"/>
        </w:rPr>
        <w:t xml:space="preserve">Art. 2º </w:t>
      </w:r>
      <w:r w:rsidRPr="007A42A3">
        <w:rPr>
          <w:rFonts w:ascii="Times New Roman" w:hAnsi="Times New Roman" w:cs="Times New Roman"/>
          <w:strike/>
          <w:color w:val="auto"/>
        </w:rPr>
        <w:t>Esta Resolução entra em vigor 90 (noventa) dias após sua publicação oficial.</w:t>
      </w:r>
    </w:p>
    <w:p w:rsidR="00210CA5" w:rsidRDefault="00210CA5" w:rsidP="009238E6">
      <w:pPr>
        <w:pStyle w:val="Ttulo2"/>
        <w:divId w:val="1138259533"/>
        <w:rPr>
          <w:rFonts w:ascii="Times New Roman" w:hAnsi="Times New Roman" w:cs="Times New Roman"/>
          <w:b w:val="0"/>
          <w:sz w:val="24"/>
          <w:szCs w:val="24"/>
        </w:rPr>
      </w:pPr>
    </w:p>
    <w:p w:rsidR="00E5099F" w:rsidRPr="00210CA5" w:rsidRDefault="00E5099F" w:rsidP="009238E6">
      <w:pPr>
        <w:pStyle w:val="Ttulo2"/>
        <w:divId w:val="1138259533"/>
        <w:rPr>
          <w:rFonts w:ascii="Times New Roman" w:hAnsi="Times New Roman" w:cs="Times New Roman"/>
          <w:b w:val="0"/>
          <w:sz w:val="24"/>
          <w:szCs w:val="24"/>
        </w:rPr>
      </w:pPr>
      <w:r w:rsidRPr="00210CA5">
        <w:rPr>
          <w:rFonts w:ascii="Times New Roman" w:hAnsi="Times New Roman" w:cs="Times New Roman"/>
          <w:b w:val="0"/>
          <w:sz w:val="24"/>
          <w:szCs w:val="24"/>
        </w:rPr>
        <w:t>DIRCEU BRÁS APARECIDO BARBANO</w:t>
      </w:r>
    </w:p>
    <w:sectPr w:rsidR="00E5099F" w:rsidRPr="00210CA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426" w:rsidRDefault="00651426" w:rsidP="00210CA5">
      <w:pPr>
        <w:spacing w:before="0" w:after="0"/>
      </w:pPr>
      <w:r>
        <w:separator/>
      </w:r>
    </w:p>
  </w:endnote>
  <w:endnote w:type="continuationSeparator" w:id="0">
    <w:p w:rsidR="00651426" w:rsidRDefault="00651426" w:rsidP="00210CA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CA5" w:rsidRPr="00210CA5" w:rsidRDefault="00210CA5" w:rsidP="00210CA5">
    <w:pPr>
      <w:tabs>
        <w:tab w:val="center" w:pos="4252"/>
        <w:tab w:val="right" w:pos="8504"/>
      </w:tabs>
      <w:spacing w:before="0" w:beforeAutospacing="0" w:after="0" w:afterAutospacing="0"/>
      <w:jc w:val="center"/>
      <w:rPr>
        <w:rFonts w:asciiTheme="minorHAnsi" w:hAnsiTheme="minorHAnsi"/>
        <w:color w:val="943634" w:themeColor="accent2" w:themeShade="BF"/>
        <w:sz w:val="22"/>
        <w:szCs w:val="22"/>
        <w:lang w:eastAsia="en-US"/>
      </w:rPr>
    </w:pPr>
    <w:r w:rsidRPr="00210CA5">
      <w:rPr>
        <w:rFonts w:asciiTheme="minorHAnsi" w:hAnsiTheme="minorHAnsi"/>
        <w:color w:val="943634" w:themeColor="accent2" w:themeShade="BF"/>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426" w:rsidRDefault="00651426" w:rsidP="00210CA5">
      <w:pPr>
        <w:spacing w:before="0" w:after="0"/>
      </w:pPr>
      <w:r>
        <w:separator/>
      </w:r>
    </w:p>
  </w:footnote>
  <w:footnote w:type="continuationSeparator" w:id="0">
    <w:p w:rsidR="00651426" w:rsidRDefault="00651426" w:rsidP="00210CA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CA5" w:rsidRPr="00210CA5" w:rsidRDefault="00651426" w:rsidP="00210CA5">
    <w:pPr>
      <w:tabs>
        <w:tab w:val="center" w:pos="4252"/>
        <w:tab w:val="right" w:pos="8504"/>
      </w:tabs>
      <w:spacing w:before="0" w:beforeAutospacing="0" w:after="0" w:afterAutospacing="0"/>
      <w:jc w:val="center"/>
      <w:rPr>
        <w:rFonts w:asciiTheme="minorHAnsi" w:hAnsiTheme="minorHAnsi"/>
        <w:sz w:val="22"/>
        <w:szCs w:val="22"/>
        <w:lang w:eastAsia="en-US"/>
      </w:rPr>
    </w:pPr>
    <w:r w:rsidRPr="00651426">
      <w:rPr>
        <w:rFonts w:asciiTheme="minorHAnsi" w:hAnsiTheme="minorHAns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210CA5" w:rsidRPr="00210CA5" w:rsidRDefault="00210CA5" w:rsidP="00210CA5">
    <w:pPr>
      <w:tabs>
        <w:tab w:val="center" w:pos="4252"/>
        <w:tab w:val="right" w:pos="8504"/>
      </w:tabs>
      <w:spacing w:before="0" w:beforeAutospacing="0" w:after="0" w:afterAutospacing="0"/>
      <w:jc w:val="center"/>
      <w:rPr>
        <w:rFonts w:asciiTheme="minorHAnsi" w:hAnsiTheme="minorHAnsi"/>
        <w:b/>
        <w:szCs w:val="22"/>
        <w:lang w:eastAsia="en-US"/>
      </w:rPr>
    </w:pPr>
    <w:r w:rsidRPr="00210CA5">
      <w:rPr>
        <w:rFonts w:asciiTheme="minorHAnsi" w:hAnsiTheme="minorHAnsi"/>
        <w:b/>
        <w:szCs w:val="22"/>
        <w:lang w:eastAsia="en-US"/>
      </w:rPr>
      <w:t>Ministério da Saúde - MS</w:t>
    </w:r>
  </w:p>
  <w:p w:rsidR="00210CA5" w:rsidRPr="00210CA5" w:rsidRDefault="00210CA5" w:rsidP="00210CA5">
    <w:pPr>
      <w:tabs>
        <w:tab w:val="center" w:pos="4252"/>
        <w:tab w:val="right" w:pos="8504"/>
      </w:tabs>
      <w:spacing w:before="0" w:beforeAutospacing="0" w:after="0" w:afterAutospacing="0"/>
      <w:jc w:val="center"/>
      <w:rPr>
        <w:rFonts w:asciiTheme="minorHAnsi" w:hAnsiTheme="minorHAnsi"/>
        <w:b/>
        <w:szCs w:val="22"/>
        <w:lang w:eastAsia="en-US"/>
      </w:rPr>
    </w:pPr>
    <w:r w:rsidRPr="00210CA5">
      <w:rPr>
        <w:rFonts w:asciiTheme="minorHAnsi" w:hAnsiTheme="minorHAnsi"/>
        <w:b/>
        <w:szCs w:val="22"/>
        <w:lang w:eastAsia="en-US"/>
      </w:rPr>
      <w:t>Agência Nacional de Vigilância Sanitária - ANVISA</w:t>
    </w:r>
  </w:p>
  <w:p w:rsidR="00210CA5" w:rsidRPr="00210CA5" w:rsidRDefault="00210CA5">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101181"/>
    <w:rsid w:val="00127F8E"/>
    <w:rsid w:val="00210CA5"/>
    <w:rsid w:val="00277E16"/>
    <w:rsid w:val="0034380C"/>
    <w:rsid w:val="00391360"/>
    <w:rsid w:val="003C4A39"/>
    <w:rsid w:val="00651426"/>
    <w:rsid w:val="00652E8A"/>
    <w:rsid w:val="006A444C"/>
    <w:rsid w:val="00771958"/>
    <w:rsid w:val="007A42A3"/>
    <w:rsid w:val="007B2F30"/>
    <w:rsid w:val="00867B72"/>
    <w:rsid w:val="008B7BC0"/>
    <w:rsid w:val="008D770F"/>
    <w:rsid w:val="009238E6"/>
    <w:rsid w:val="00963BF1"/>
    <w:rsid w:val="009A2E47"/>
    <w:rsid w:val="009E09C4"/>
    <w:rsid w:val="00A06235"/>
    <w:rsid w:val="00A44EB6"/>
    <w:rsid w:val="00A53197"/>
    <w:rsid w:val="00A533A1"/>
    <w:rsid w:val="00A66480"/>
    <w:rsid w:val="00AA72EF"/>
    <w:rsid w:val="00AB5BE0"/>
    <w:rsid w:val="00AC6DE3"/>
    <w:rsid w:val="00AF43E7"/>
    <w:rsid w:val="00B13D8C"/>
    <w:rsid w:val="00B37F18"/>
    <w:rsid w:val="00BA4BE8"/>
    <w:rsid w:val="00BC5F27"/>
    <w:rsid w:val="00BD2AA5"/>
    <w:rsid w:val="00BE676D"/>
    <w:rsid w:val="00C05434"/>
    <w:rsid w:val="00C95A0B"/>
    <w:rsid w:val="00D221EC"/>
    <w:rsid w:val="00D74B7B"/>
    <w:rsid w:val="00DF7C19"/>
    <w:rsid w:val="00E13B02"/>
    <w:rsid w:val="00E5099F"/>
    <w:rsid w:val="00E87390"/>
    <w:rsid w:val="00FA5497"/>
    <w:rsid w:val="00FB2F12"/>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259535">
      <w:marLeft w:val="150"/>
      <w:marRight w:val="150"/>
      <w:marTop w:val="150"/>
      <w:marBottom w:val="0"/>
      <w:divBdr>
        <w:top w:val="none" w:sz="0" w:space="0" w:color="auto"/>
        <w:left w:val="none" w:sz="0" w:space="0" w:color="auto"/>
        <w:bottom w:val="none" w:sz="0" w:space="0" w:color="auto"/>
        <w:right w:val="none" w:sz="0" w:space="0" w:color="auto"/>
      </w:divBdr>
      <w:divsChild>
        <w:div w:id="1138259534">
          <w:marLeft w:val="0"/>
          <w:marRight w:val="0"/>
          <w:marTop w:val="0"/>
          <w:marBottom w:val="0"/>
          <w:divBdr>
            <w:top w:val="none" w:sz="0" w:space="0" w:color="auto"/>
            <w:left w:val="none" w:sz="0" w:space="0" w:color="auto"/>
            <w:bottom w:val="none" w:sz="0" w:space="0" w:color="auto"/>
            <w:right w:val="none" w:sz="0" w:space="0" w:color="auto"/>
          </w:divBdr>
          <w:divsChild>
            <w:div w:id="1138259533">
              <w:marLeft w:val="0"/>
              <w:marRight w:val="0"/>
              <w:marTop w:val="75"/>
              <w:marBottom w:val="300"/>
              <w:divBdr>
                <w:top w:val="none" w:sz="0" w:space="0" w:color="auto"/>
                <w:left w:val="none" w:sz="0" w:space="0" w:color="auto"/>
                <w:bottom w:val="none" w:sz="0" w:space="0" w:color="auto"/>
                <w:right w:val="none" w:sz="0" w:space="0" w:color="auto"/>
              </w:divBdr>
              <w:divsChild>
                <w:div w:id="1138259531">
                  <w:marLeft w:val="0"/>
                  <w:marRight w:val="0"/>
                  <w:marTop w:val="0"/>
                  <w:marBottom w:val="0"/>
                  <w:divBdr>
                    <w:top w:val="none" w:sz="0" w:space="0" w:color="auto"/>
                    <w:left w:val="none" w:sz="0" w:space="0" w:color="auto"/>
                    <w:bottom w:val="none" w:sz="0" w:space="0" w:color="auto"/>
                    <w:right w:val="none" w:sz="0" w:space="0" w:color="auto"/>
                  </w:divBdr>
                </w:div>
                <w:div w:id="1138259532">
                  <w:marLeft w:val="0"/>
                  <w:marRight w:val="0"/>
                  <w:marTop w:val="0"/>
                  <w:marBottom w:val="0"/>
                  <w:divBdr>
                    <w:top w:val="none" w:sz="0" w:space="0" w:color="auto"/>
                    <w:left w:val="none" w:sz="0" w:space="0" w:color="auto"/>
                    <w:bottom w:val="none" w:sz="0" w:space="0" w:color="auto"/>
                    <w:right w:val="none" w:sz="0" w:space="0" w:color="auto"/>
                  </w:divBdr>
                </w:div>
                <w:div w:id="1138259537">
                  <w:marLeft w:val="0"/>
                  <w:marRight w:val="0"/>
                  <w:marTop w:val="0"/>
                  <w:marBottom w:val="0"/>
                  <w:divBdr>
                    <w:top w:val="none" w:sz="0" w:space="0" w:color="auto"/>
                    <w:left w:val="none" w:sz="0" w:space="0" w:color="auto"/>
                    <w:bottom w:val="none" w:sz="0" w:space="0" w:color="auto"/>
                    <w:right w:val="none" w:sz="0" w:space="0" w:color="auto"/>
                  </w:divBdr>
                </w:div>
                <w:div w:id="1138259538">
                  <w:marLeft w:val="0"/>
                  <w:marRight w:val="0"/>
                  <w:marTop w:val="0"/>
                  <w:marBottom w:val="0"/>
                  <w:divBdr>
                    <w:top w:val="none" w:sz="0" w:space="0" w:color="auto"/>
                    <w:left w:val="none" w:sz="0" w:space="0" w:color="auto"/>
                    <w:bottom w:val="none" w:sz="0" w:space="0" w:color="auto"/>
                    <w:right w:val="none" w:sz="0" w:space="0" w:color="auto"/>
                  </w:divBdr>
                </w:div>
              </w:divsChild>
            </w:div>
            <w:div w:id="1138259536">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2770</Characters>
  <Application>Microsoft Office Word</Application>
  <DocSecurity>0</DocSecurity>
  <Lines>23</Lines>
  <Paragraphs>6</Paragraphs>
  <ScaleCrop>false</ScaleCrop>
  <Company>ANVISA</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2016-06-24T20:16:00Z</cp:lastPrinted>
  <dcterms:created xsi:type="dcterms:W3CDTF">2018-08-16T18:51:00Z</dcterms:created>
  <dcterms:modified xsi:type="dcterms:W3CDTF">2018-08-16T18:51:00Z</dcterms:modified>
</cp:coreProperties>
</file>