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92D9A" w:rsidRDefault="00F02B23" w:rsidP="00392D9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392D9A">
        <w:rPr>
          <w:rFonts w:ascii="Times New Roman" w:hAnsi="Times New Roman" w:cs="Times New Roman"/>
          <w:b/>
          <w:szCs w:val="24"/>
        </w:rPr>
        <w:t>RESOLUÇÃO</w:t>
      </w:r>
      <w:r w:rsidR="008A6074" w:rsidRPr="00392D9A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392D9A">
        <w:rPr>
          <w:rFonts w:ascii="Times New Roman" w:hAnsi="Times New Roman" w:cs="Times New Roman"/>
          <w:b/>
          <w:szCs w:val="24"/>
        </w:rPr>
        <w:t xml:space="preserve"> – RDC Nº 53, DE 29 DE JULHO DE </w:t>
      </w:r>
      <w:proofErr w:type="gramStart"/>
      <w:r w:rsidRPr="00392D9A">
        <w:rPr>
          <w:rFonts w:ascii="Times New Roman" w:hAnsi="Times New Roman" w:cs="Times New Roman"/>
          <w:b/>
          <w:szCs w:val="24"/>
        </w:rPr>
        <w:t>2008</w:t>
      </w:r>
      <w:proofErr w:type="gramEnd"/>
    </w:p>
    <w:p w:rsidR="00F02B23" w:rsidRPr="008A6074" w:rsidRDefault="00F02B23" w:rsidP="00F02B2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A607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9001F8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8A607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146, de 31 de julho de 2008</w:t>
      </w:r>
      <w:proofErr w:type="gramStart"/>
      <w:r w:rsidRPr="008A607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07877" w:rsidRPr="008A6074" w:rsidRDefault="00207877" w:rsidP="00F02B2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A607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8A607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7470B8" w:rsidRPr="008A6074" w:rsidTr="00710EFB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470B8" w:rsidRPr="008A6074" w:rsidRDefault="007470B8" w:rsidP="00710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0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8A6074" w:rsidRPr="008A6074" w:rsidRDefault="008A6074" w:rsidP="00710E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0B8" w:rsidRPr="00392D9A" w:rsidRDefault="007470B8" w:rsidP="00710E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2D9A">
              <w:rPr>
                <w:rFonts w:ascii="Times New Roman" w:hAnsi="Times New Roman" w:cs="Times New Roman"/>
                <w:sz w:val="24"/>
                <w:szCs w:val="24"/>
              </w:rPr>
              <w:t>Aprova</w:t>
            </w:r>
            <w:proofErr w:type="gramEnd"/>
            <w:r w:rsidRPr="00392D9A">
              <w:rPr>
                <w:rFonts w:ascii="Times New Roman" w:hAnsi="Times New Roman" w:cs="Times New Roman"/>
                <w:sz w:val="24"/>
                <w:szCs w:val="24"/>
              </w:rPr>
              <w:t xml:space="preserve"> as inclusões na Lista DCB 2006.</w:t>
            </w:r>
          </w:p>
          <w:p w:rsidR="008A6074" w:rsidRPr="008A6074" w:rsidRDefault="008A6074" w:rsidP="00710E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8A607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</w:t>
      </w:r>
      <w:bookmarkStart w:id="0" w:name="_GoBack"/>
      <w:bookmarkEnd w:id="0"/>
      <w:r w:rsidRPr="008A6074">
        <w:rPr>
          <w:rFonts w:ascii="Times New Roman" w:hAnsi="Times New Roman" w:cs="Times New Roman"/>
          <w:b/>
          <w:strike/>
          <w:sz w:val="24"/>
          <w:szCs w:val="24"/>
        </w:rPr>
        <w:t>nal de Vigilância Sanitária</w:t>
      </w:r>
      <w:r w:rsidRPr="008A6074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Regulamento aprovado pelo Decreto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3.029, de 16 de abril de 1999, e tendo em vista o disposto no inciso II e nos §§ 1º e 3º do art. 54 do Regimento Interno aprovado nos termos do Anexo I da Portaria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354 da ANVISA, de 11 de agosto de 2006, republicada no DOU de 21 de agosto de 2006, em reunião realizada em </w:t>
      </w: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7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de julho de 2008, e 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 6.360/76, Decreto n° 79.094/77, Lei n° 8.080/90, Lei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9.782/99, Lei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9.787/99, Decreto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3.029/99, Decreto n°. 3.181/99 e a Instrução Normativa da Secretaria de Vigilância Sanitária do Ministério da Saúde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1, de 30 de setembro de 1994; 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pelo Comitê Técnico Temático de Denominações Comuns Brasileiras (CTT DCB), da Comissão da </w:t>
      </w:r>
      <w:proofErr w:type="spellStart"/>
      <w:r w:rsidRPr="008A6074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Brasileira (CFB), constantes da Resolução Anvisa RDC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276, de 21 de outubro de 2002 (DOU 12/11/2002) e RDC n° 125 de 13 de maio de 2005; 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</w:t>
      </w:r>
      <w:r w:rsidR="006C7C01" w:rsidRPr="008A6074">
        <w:rPr>
          <w:rFonts w:ascii="Times New Roman" w:hAnsi="Times New Roman" w:cs="Times New Roman"/>
          <w:strike/>
          <w:sz w:val="24"/>
          <w:szCs w:val="24"/>
        </w:rPr>
        <w:t>º</w:t>
      </w: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211, de 17 de novembro de 2006 (DOU 20/11/2006); 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o parecer emitido pela CTT DCB, da CFB, em cumprimento do seu dever de, </w:t>
      </w: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periodicamente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>, revisar e atualizar as DCB para substâncias farmacêuticas;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A6074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 a seguinte Resolução e eu, Diretora-Presidente Substituta, determino a sua publicação: 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A6074">
        <w:rPr>
          <w:rFonts w:ascii="Times New Roman" w:hAnsi="Times New Roman" w:cs="Times New Roman"/>
          <w:strike/>
          <w:sz w:val="24"/>
          <w:szCs w:val="24"/>
        </w:rPr>
        <w:t xml:space="preserve">Art. 1º Aprovar, na forma do Anexo as inclusões, na Lista DCB 2006, das Denominações Comuns Brasileiras (DCB) - Princípios Ativos. </w:t>
      </w:r>
    </w:p>
    <w:p w:rsidR="006C7C01" w:rsidRPr="008A6074" w:rsidRDefault="007470B8" w:rsidP="006C7C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A607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Esta Resolução entra em vigor na data da sua publicação. </w:t>
      </w:r>
    </w:p>
    <w:p w:rsidR="006C7C01" w:rsidRPr="008A6074" w:rsidRDefault="007470B8" w:rsidP="006C7C0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8A6074">
        <w:rPr>
          <w:rFonts w:ascii="Times New Roman" w:hAnsi="Times New Roman" w:cs="Times New Roman"/>
          <w:strike/>
          <w:sz w:val="24"/>
          <w:szCs w:val="24"/>
        </w:rPr>
        <w:t>MARIA CECÍLIA MARTINS BRITO</w:t>
      </w:r>
    </w:p>
    <w:p w:rsidR="006C7C01" w:rsidRPr="008A6074" w:rsidRDefault="006C7C01" w:rsidP="006C7C0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7470B8" w:rsidRPr="008A6074" w:rsidRDefault="007470B8" w:rsidP="006C7C0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A6074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727"/>
        <w:gridCol w:w="1877"/>
        <w:gridCol w:w="1337"/>
        <w:gridCol w:w="2907"/>
      </w:tblGrid>
      <w:tr w:rsidR="004A51E4" w:rsidRPr="008A6074" w:rsidTr="008A6074">
        <w:trPr>
          <w:jc w:val="center"/>
        </w:trPr>
        <w:tc>
          <w:tcPr>
            <w:tcW w:w="912" w:type="dxa"/>
            <w:shd w:val="clear" w:color="auto" w:fill="D9D9D9" w:themeFill="background1" w:themeFillShade="D9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Tipo de Pedido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CAS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do CTT de DCB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09649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Alteração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pamoato</w:t>
            </w:r>
            <w:proofErr w:type="spellEnd"/>
            <w:proofErr w:type="gram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triptorrelina</w:t>
            </w:r>
            <w:proofErr w:type="spell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124508-66-3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CTT de DCB adotou como nome oficial 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embonato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que é sinônimo do radical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palmoato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, de acordo com a diretriz internacional adotada (Denominação Comum Internacional - OMS). Decisão de não alteração da DCB.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09650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nebivolol</w:t>
            </w:r>
            <w:proofErr w:type="spell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152520-56-4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cloridrato de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nebivolol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09651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laropipranto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571170-77-9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laropipranto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09652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brometo</w:t>
            </w:r>
            <w:proofErr w:type="gram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metilnaltrexona</w:t>
            </w:r>
            <w:proofErr w:type="spell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73232-52-7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brometo de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metilnaltrexona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09653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galsulfase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552858-79-4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galsulfase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09654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pamoato</w:t>
            </w:r>
            <w:proofErr w:type="spellEnd"/>
            <w:proofErr w:type="gram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olanzapina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221373-18-8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embonato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olanzapina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09655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lenalidomida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191732-72-6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lenalidomida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09656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tocilizumabe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375823-41-9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tocilizumabe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09657</w:t>
            </w:r>
          </w:p>
        </w:tc>
        <w:tc>
          <w:tcPr>
            <w:tcW w:w="2127" w:type="dxa"/>
            <w:vAlign w:val="center"/>
          </w:tcPr>
          <w:p w:rsidR="004A51E4" w:rsidRPr="008A6074" w:rsidRDefault="004A51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DCB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quelosídeo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17226-75-4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quelosídeo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  <w:tr w:rsidR="004A51E4" w:rsidRPr="008A6074" w:rsidTr="008A6074">
        <w:trPr>
          <w:jc w:val="center"/>
        </w:trPr>
        <w:tc>
          <w:tcPr>
            <w:tcW w:w="912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06784</w:t>
            </w:r>
          </w:p>
        </w:tc>
        <w:tc>
          <w:tcPr>
            <w:tcW w:w="2127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Inclusão de CAS</w:t>
            </w:r>
          </w:p>
        </w:tc>
        <w:tc>
          <w:tcPr>
            <w:tcW w:w="1984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ozogamicina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400046-53-9</w:t>
            </w:r>
          </w:p>
        </w:tc>
        <w:tc>
          <w:tcPr>
            <w:tcW w:w="3686" w:type="dxa"/>
            <w:vAlign w:val="center"/>
          </w:tcPr>
          <w:p w:rsidR="004A51E4" w:rsidRPr="008A6074" w:rsidRDefault="004A51E4" w:rsidP="004A51E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Inclusão como </w:t>
            </w:r>
            <w:proofErr w:type="spellStart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ozogamicina</w:t>
            </w:r>
            <w:proofErr w:type="spellEnd"/>
            <w:r w:rsidRPr="008A607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</w:tbl>
    <w:p w:rsidR="004A51E4" w:rsidRPr="008A6074" w:rsidRDefault="004A51E4" w:rsidP="004A51E4">
      <w:pPr>
        <w:spacing w:before="300" w:after="300" w:line="240" w:lineRule="auto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4A51E4" w:rsidRPr="008A6074" w:rsidSect="00392D9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D9A" w:rsidRDefault="00392D9A" w:rsidP="00392D9A">
      <w:pPr>
        <w:spacing w:after="0" w:line="240" w:lineRule="auto"/>
      </w:pPr>
      <w:r>
        <w:separator/>
      </w:r>
    </w:p>
  </w:endnote>
  <w:endnote w:type="continuationSeparator" w:id="0">
    <w:p w:rsidR="00392D9A" w:rsidRDefault="00392D9A" w:rsidP="0039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D9A" w:rsidRPr="00392D9A" w:rsidRDefault="00392D9A" w:rsidP="00392D9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D9A" w:rsidRDefault="00392D9A" w:rsidP="00392D9A">
      <w:pPr>
        <w:spacing w:after="0" w:line="240" w:lineRule="auto"/>
      </w:pPr>
      <w:r>
        <w:separator/>
      </w:r>
    </w:p>
  </w:footnote>
  <w:footnote w:type="continuationSeparator" w:id="0">
    <w:p w:rsidR="00392D9A" w:rsidRDefault="00392D9A" w:rsidP="0039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D9A" w:rsidRDefault="00392D9A" w:rsidP="00392D9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2D9A" w:rsidRDefault="00392D9A" w:rsidP="00392D9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392D9A" w:rsidRDefault="00392D9A" w:rsidP="00392D9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92D9A" w:rsidRDefault="00392D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23"/>
    <w:rsid w:val="001E708B"/>
    <w:rsid w:val="00207877"/>
    <w:rsid w:val="00392D9A"/>
    <w:rsid w:val="004A51E4"/>
    <w:rsid w:val="006C7C01"/>
    <w:rsid w:val="007441BF"/>
    <w:rsid w:val="007470B8"/>
    <w:rsid w:val="00786686"/>
    <w:rsid w:val="008A6074"/>
    <w:rsid w:val="008D0D8D"/>
    <w:rsid w:val="009001F8"/>
    <w:rsid w:val="00A00E6D"/>
    <w:rsid w:val="00B30817"/>
    <w:rsid w:val="00D621E1"/>
    <w:rsid w:val="00F0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5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2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D9A"/>
  </w:style>
  <w:style w:type="paragraph" w:styleId="Rodap">
    <w:name w:val="footer"/>
    <w:basedOn w:val="Normal"/>
    <w:link w:val="RodapChar"/>
    <w:uiPriority w:val="99"/>
    <w:unhideWhenUsed/>
    <w:rsid w:val="00392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D9A"/>
  </w:style>
  <w:style w:type="paragraph" w:styleId="Textodebalo">
    <w:name w:val="Balloon Text"/>
    <w:basedOn w:val="Normal"/>
    <w:link w:val="TextodebaloChar"/>
    <w:uiPriority w:val="99"/>
    <w:semiHidden/>
    <w:unhideWhenUsed/>
    <w:rsid w:val="0039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2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5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2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D9A"/>
  </w:style>
  <w:style w:type="paragraph" w:styleId="Rodap">
    <w:name w:val="footer"/>
    <w:basedOn w:val="Normal"/>
    <w:link w:val="RodapChar"/>
    <w:uiPriority w:val="99"/>
    <w:unhideWhenUsed/>
    <w:rsid w:val="00392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D9A"/>
  </w:style>
  <w:style w:type="paragraph" w:styleId="Textodebalo">
    <w:name w:val="Balloon Text"/>
    <w:basedOn w:val="Normal"/>
    <w:link w:val="TextodebaloChar"/>
    <w:uiPriority w:val="99"/>
    <w:semiHidden/>
    <w:unhideWhenUsed/>
    <w:rsid w:val="0039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2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11E32A-78BF-44C5-9ECE-B27B184D72DD}"/>
</file>

<file path=customXml/itemProps2.xml><?xml version="1.0" encoding="utf-8"?>
<ds:datastoreItem xmlns:ds="http://schemas.openxmlformats.org/officeDocument/2006/customXml" ds:itemID="{DC12857C-4770-48CE-94D3-22A12186135A}"/>
</file>

<file path=customXml/itemProps3.xml><?xml version="1.0" encoding="utf-8"?>
<ds:datastoreItem xmlns:ds="http://schemas.openxmlformats.org/officeDocument/2006/customXml" ds:itemID="{9C4B9EA6-240A-42D4-A0FB-68585BCEE7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2016-10-21T20:37:00Z</cp:lastPrinted>
  <dcterms:created xsi:type="dcterms:W3CDTF">2015-09-15T01:44:00Z</dcterms:created>
  <dcterms:modified xsi:type="dcterms:W3CDTF">2016-10-21T20:37:00Z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