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781DB1" w:rsidRDefault="007B36E4" w:rsidP="00781DB1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781DB1">
        <w:rPr>
          <w:rFonts w:ascii="Times New Roman" w:hAnsi="Times New Roman" w:cs="Times New Roman"/>
          <w:b/>
          <w:szCs w:val="24"/>
        </w:rPr>
        <w:t>RESOLUÇÃO</w:t>
      </w:r>
      <w:r w:rsidR="00781DB1" w:rsidRPr="00781DB1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781DB1">
        <w:rPr>
          <w:rFonts w:ascii="Times New Roman" w:hAnsi="Times New Roman" w:cs="Times New Roman"/>
          <w:b/>
          <w:szCs w:val="24"/>
        </w:rPr>
        <w:t xml:space="preserve"> – RDC Nº 59, DE 17 DE DEZEMBRO DE </w:t>
      </w:r>
      <w:proofErr w:type="gramStart"/>
      <w:r w:rsidRPr="00781DB1">
        <w:rPr>
          <w:rFonts w:ascii="Times New Roman" w:hAnsi="Times New Roman" w:cs="Times New Roman"/>
          <w:b/>
          <w:szCs w:val="24"/>
        </w:rPr>
        <w:t>2010</w:t>
      </w:r>
      <w:proofErr w:type="gramEnd"/>
    </w:p>
    <w:p w:rsidR="007B36E4" w:rsidRPr="00781DB1" w:rsidRDefault="00DA2CC1" w:rsidP="007B36E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81DB1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244, de 22 de dezembro de 2010</w:t>
      </w:r>
      <w:proofErr w:type="gramStart"/>
      <w:r w:rsidRPr="00781DB1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DA2CC1" w:rsidRPr="00781DB1" w:rsidTr="00DA2CC1">
        <w:tc>
          <w:tcPr>
            <w:tcW w:w="4322" w:type="dxa"/>
          </w:tcPr>
          <w:p w:rsidR="00DA2CC1" w:rsidRPr="00781DB1" w:rsidRDefault="00DA2CC1" w:rsidP="007B36E4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DA2CC1" w:rsidRPr="00781DB1" w:rsidRDefault="00DA2CC1" w:rsidP="00DA2CC1">
            <w:pPr>
              <w:jc w:val="both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>Dispõe sobre os procedimentos e requisitos técnicos para a notificação e o registro de produtos saneantes e dá outras providências.</w:t>
            </w:r>
          </w:p>
        </w:tc>
      </w:tr>
    </w:tbl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</w:t>
      </w: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Diretoria Colegiada da Agência Nacional de Vigilância Sanitária</w:t>
      </w: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Anvisa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de 11 de agosto de 2006, republicada no DOU de 21 de agosto de 2006 e retificada no DOU de 29 de agosto de 2006, em reunião realizada em 13 de dezembro de 2010,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adota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seguinte Resolução de Diretoria Colegiada e eu, Diretor-Presidente, determino a sua publicação: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1º Fica aprovado o regulamento técnico para procedimentos e requisitos técnicos para a notificação e o registro de produtos saneantes.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CAPÍTULO I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DAS DISPOSIÇÕES INICIAIS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Seção I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Objetivo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2º Este regulamento possui o objetivo de elaborar, revisar, alterar, consolidar, padronizar, atualizar, desburocratizar procedimentos, estabelecer definições, características gerais, embalagem e rotulagem, requisitos técnicos para a notificação e o registro de produtos classificados como saneantes, de forma a gerenciar o risco à saúde.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Seção II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Abrangência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3º Este regulamento se aplica a todos os produtos definidos como saneantes.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Seção III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Definições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Art. 4º Para efeito deste regulamento técnico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são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adotadas as seguintes definições: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 - análise fiscal: análise efetuada sobre os produtos saneantes, em caráter de rotina, para apuração de infração ou verificação de ocorrência de desvio quanto à qualidade, segurança e eficácia dos produtos ou matérias primas;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 - análise prévia: análise efetuada em produtos saneantes, a fim de ser verificado se podem ser objetos de notificação e registro;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III - categoria: grupo de produtos com a mesma finalidade de uso;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IV - componente ativo ou matéria ativa ou princípio ativo: aquele presente na formulação para conferir eficácia ao produto, segundo sua finalidade, obtido por um processo de fabricação (químico, físico ou biológico), contendo porcentagem definida de pureza;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 - desinfecção: processo físico ou químico que destrói a maioria dos microrganismos patogênicos de objetos inanimados e superfícies, com exceção de esporos bacterianos;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VI - desinfestação: processo que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mata,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inativa ou repele organismos indesejáveis no ambiente, sobre objetos, superfícies inanimadas ou em plantas;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VII - desodorização: processo capaz de controlar odores desagradáveis, por meio de atividade antimicrobiana, limitando-se à inibição do crescimento dos microrganismos;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VIII - Dose Letal 50 por via oral (DL50 oral): uma única dose da substância teste que, quando administrada por via oral, causa a morte de 50% dos animais testados.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IX - embalagem: invólucro, recipiente ou qualquer forma de acondicionamento, removível ou não, destinado a cobrir, empacotar, envasar, proteger ou manter, especificamente ou não, produtos de que trata este regulamento;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a) embalagem primária: acondicionamento que está em contato direto com o produto e que pode se constituir em recipiente, envoltório ou qualquer outra forma de proteção, removível ou não, destinado a envasar ou manter, cobrir ou empacotar produtos acabados;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proofErr w:type="gramEnd"/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embalagem secundária: acondicionamento que tem como finalidade agrupar e proteger embalagens primárias;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X - empresa especializada: pessoa jurídica, privada ou pública, devidamente constituída, licenciada pelos órgãos competentes da saúde ou do meio ambiente, para prestar serviços de controle de vetores e pragas urbanas;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XI - esterilização: processo que utiliza agentes químicos ou físicos para destruir todas as formas de vida microbiana, inclusive as esporuladas, e aplica-se especificamente a objetos inanimados;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XII - estudo de estabilidade: conjunto de testes realizados para obter informações sobre a estabilidade de produtos quanto aos limites previamente especificados, visando definir seu prazo de validade e período de utilização em embalagem e condições de estocagem determinadas;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XIII - laboratório acreditado: qualquer laboratório, nacional ou estrangeiro, que realize ensaios e atenda aos critérios do Inmetro, Norma ISO 17025 ou que cumprem as Boas Práticas de Laboratório - BPL;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XIV - microrganismo viável: microrganismo vivo e cultivável nos meios de cultura e nas condições ambientais específicas;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XV - notificação: obrigatoriedade de comunicar previamente, por meio de </w:t>
      </w:r>
      <w:proofErr w:type="spell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peticionamento</w:t>
      </w:r>
      <w:proofErr w:type="spell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eletrônico a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Anvisa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 importação, a industrialização, a exposição a venda ou a entrega ao consumo dos produtos saneantes de risco 1;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XVI - </w:t>
      </w:r>
      <w:proofErr w:type="spell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odorização</w:t>
      </w:r>
      <w:proofErr w:type="spell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processo destinado a perfumar objetos, superfícies e ambientes por liberação de substâncias;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XVII - painel principal: área do rótulo com maior destaque, imediatamente voltada para o consumidor e onde consta o nome do produto;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XVIII - painel secundário: demais áreas do rótulo contendo as informações descritas em regulamentos;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XIX - produto corrosivo: aquele que produz destruição de tecido da pele, necrose visível pela epiderme, e para dentro da derme, em mais de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entre 3 animais testados, após uma exposição de até 4 horas de duração;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XX - produto saneante: substância ou preparação destinada à aplicação em objetos, tecidos, superfícies inanimadas e ambientes, com finalidade de limpeza e afins, desinfecção, desinfestação, sanitização, desodorização e </w:t>
      </w:r>
      <w:proofErr w:type="spell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odorização</w:t>
      </w:r>
      <w:proofErr w:type="spell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além de desinfecção de água para o consumo humano, hortifrutícolas e piscinas;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XXI - produto saneante de uso profissional: produto que não pode ser vendido diretamente ao público e deve ser aplicado ou manipulado exclusivamente por profissional devidamente treinado ou por empresa especializada;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XXII - produto saneante de venda livre: produto que pode ser comercializado diretamente ao público;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XXIII - registro: ato privativo da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Anvisa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após avaliação e despacho concessivo de seu dirigente, destinado a comprovar o direito de fabricação e de importação de produto submetido ao regime da Lei nº 6.360, de 23 de setembro de 1976 e demais regulamentos, com a indicação de nome, fabricante, procedência, finalidade e outros elementos que o caracterizem;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XXIV - risco: probabilidade de que ocorra um evento adverso sobre as espécies não alvo ou danos ao meio ambiente;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XXV - rótulo: identificação impressa, litografada, pintada, gravada a fogo, a pressão ou </w:t>
      </w:r>
      <w:proofErr w:type="spellStart"/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auto-adesiva</w:t>
      </w:r>
      <w:proofErr w:type="spellEnd"/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aplicada diretamente sobre a embalagem primária, não podendo ser removida ou alterada durante o uso, transporte ou armazenamento do produto;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XXVI - sanitização: processo que reduz o número de microrganismos a níveis seguros, de acordo com as normas de saúde;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proofErr w:type="gramEnd"/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XXVII - versão: produto, sob um mesmo nome/marca, com a mesma fórmula base no que se refere a componentes ativos ou matérias ativas ou princípios ativos e componentes complementares, diferenciando-se entre elas unicamente por fragrância, corante, ou ambos.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Parágrafo único. O valor estabelecido no inciso VIII é expresso em unidade de peso da substância teste por unidade de massa de peso corpóreo do animal teste (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mg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/kg).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CAPÍTULO II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DOS REQUISITOS GERAIS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5º A notificação e o registro dos produtos saneantes são efetuados levando-se em conta a avaliação e o gerenciamento do risco, finalidade, categoria e devem atender regulamentos específicos.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6º Na avaliação e gerenciamento do risco são considerados: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 - toxicidade das substâncias e suas concentrações no produto;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 - finalidade de uso dos produtos;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III - condições de uso;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IV - ocorrência de eventos adversos ou queixas técnicas anteriores;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 - população provavelmente exposta;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VI - frequência de exposição e a sua duração;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proofErr w:type="gramEnd"/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VII - formas de apresentação.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7º Somente as empresas que possuem Autorização de Funcionamento de Empresa - AFE, com as atividades: fabricar, produzir ou importar produtos saneantes,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podem notificar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 registrar os produtos contemplados neste regulamento.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8º As empresas legalmente autorizadas a fabricar, armazenar, distribuir, transportar, fracionar ou importar produtos saneantes estão sujeitas à verificação do cumprimento das Boas Práticas de Fabricação e Controle, solicitadas pela autoridade sanitária competente por meio de inspeção, na forma da Lei nº 6.360, de 23 de setembro de 1976 e suas alterações.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9º É proibida a fabricação, importação e a comercialização de produto cuja formulação contenha: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 - componente não permitido;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II - componente que exceda limite estabelecido constante em regulamento específico;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ou</w:t>
      </w:r>
      <w:proofErr w:type="gramEnd"/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III - componente que apresente efeitos comprovadamente mutagênicos, teratogênicos ou carcinogênicos em mamíferos.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Parágrafo único. Excluem-se deste artigo os produtos exclusivos para exportação.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10. Os produtos fabricados exclusivamente para exportação devem obedecer à Resolução RDC n.º 38, de 28 de abril de 2000 e suas atualizações ou outros regulamentos.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11. A notificação ou o registro de versões de um produto</w:t>
      </w:r>
      <w:r w:rsidR="00751264"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feito sob o mesmo número de processo.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12. Os produtos de risco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somente podem ser comercializados após a notificação realizada por meio do </w:t>
      </w:r>
      <w:proofErr w:type="spell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peticionamento</w:t>
      </w:r>
      <w:proofErr w:type="spell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totalmente eletrônico e divulgada na página da Anvisa, na rede mundial de computadores - internet.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13. Os produtos de risco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somente podem ser comercializados após a concessão do registro publicada em Diário Oficial da União.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CAPÍTULO III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DAS CLASSIFICAÇÕES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14. Os produtos saneantes são classificados quanto ao risco, finalidade, venda e emprego.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Seção I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Quanto ao Risco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15. Para efeito de notificação e registro, os produtos saneantes são classificados como de risco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de risco 2, respectivamente.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Subseção I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Produtos de Risco </w:t>
      </w:r>
      <w:proofErr w:type="gramStart"/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</w:t>
      </w:r>
      <w:proofErr w:type="gramEnd"/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16. Os produtos saneantes são classificados como de risco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quando: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 - apresentem DL50 oral para ratos superior a 2000mg/kg de peso corpóreo para produtos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líquidos e superior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500mg/kg de peso corpóreo para produtos sólidos;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II - o valor de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pH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forma pura, à temperatura de 25º C (vinte e cinco graus Celsius), seja maior que 2 ou menor que 11,5;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III - não apresentem características de corrosividade, atividade antimicrobiana, ação desinfestante e não sejam à base de microrganismos viáveis;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proofErr w:type="gramEnd"/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IV - não contenham em sua formulação um dos seguintes</w:t>
      </w:r>
      <w:r w:rsidR="00751264"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ácidos inorgânicos: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fluorídrico (HF);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nítrico (HNO</w:t>
      </w: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3</w:t>
      </w: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c) sulfúrico (H</w:t>
      </w: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2</w:t>
      </w: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</w:t>
      </w: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4</w:t>
      </w: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); ou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d) seus sais que os liberem nas condições de uso do produto.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§1º Os valores estabelecidos no inciso I devem ser avaliados para o produto puro.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§2º No inciso I será admitido o método de cálculo teórico de DL50 oral recomendado pela OMS.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§3º No caso dos produtos tratados no inciso II cujo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pH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não possa ser medido na forma pura, esses devem ser avaliados na diluição a 1% p/p.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Subseção II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Produtos de Risco </w:t>
      </w:r>
      <w:proofErr w:type="gramStart"/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2</w:t>
      </w:r>
      <w:proofErr w:type="gramEnd"/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17. Os produtos saneantes são classificados como de risco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quando: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 - apresentem DL50 oral para ratos superior a 2000mg/kg de peso corpóreo para produtos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líquidos e superior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500mg/kg de peso corpóreo para produtos sólidos;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II - o valor de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pH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forma pura, à temperatura de 25º C (vinte e cinco graus Celsius), seja igual ou menor que 2 ou igual ou maior que 11,5;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III - apresentem características de </w:t>
      </w:r>
      <w:proofErr w:type="spell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corrosividade</w:t>
      </w:r>
      <w:proofErr w:type="spell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atividade antimicrobiana, ação </w:t>
      </w:r>
      <w:proofErr w:type="spell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desinfestante</w:t>
      </w:r>
      <w:proofErr w:type="spell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ou sejam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à base de microrganismos viáveis; ou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IV - contenham em sua formulação um dos seguintes ácidos inorgânicos: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fluorídrico (HF);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nítrico (HNO3);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c) sulfúrico (H2SO4); ou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d) seus sais que os liberem nas condições de uso do produto.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§1º Os valores estabelecidos no inciso I devem ser avaliados para o produto na diluição final de uso.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§2º No inciso I será admitido o método de cálculo teórico de DL50 oral recomendado pela OMS.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§3º No caso dos produtos tratados no inciso II cujo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pH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não possa ser medido na forma pura, esses devem ser avaliados na diluição a 1% p/p.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Seção II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Quanto à Finalidade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18. Os produtos saneantes são classificados quanto à sua finalidade em: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 - limpeza em geral e afins;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II - desinfecção, esterilização, sanitização, desodorização, além de desinfecção de água para o consumo humano, hortifrutícolas e piscinas;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proofErr w:type="gramEnd"/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III - desinfestação.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Parágrafo único. As finalidades estão dispostas nas categorias constantes no Anexo II desta Resolução.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Seção III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Quanto à Venda e Emprego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19. Os produtos saneantes são classificados quanto à venda e emprego em: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 - produtos de venda livre;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proofErr w:type="gramEnd"/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 - produtos de uso profissional ou de venda restrita a empresa especializada.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Parágrafo único. Produtos das categorias esterilizante, desinfetante de alto nível, desinfetante de nível intermediário, desinfetante hospitalar para artigos </w:t>
      </w:r>
      <w:proofErr w:type="spellStart"/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semi-críticos</w:t>
      </w:r>
      <w:proofErr w:type="spellEnd"/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desinfetante hospitalar para superfícies fixas e artigos não críticos, desinfetante/</w:t>
      </w:r>
      <w:proofErr w:type="spell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sanitizante</w:t>
      </w:r>
      <w:proofErr w:type="spell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roupa hospitalar e detergente enzimático devem ser de uso profissional.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20. Os produtos de venda livre podem ser comercializados em embalagens de, no máximo, 5 litros ou quilogramas, exceto quando houver restrição em norma específica.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Parágrafo único.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Produtos destinados à desinfecção de piscinas tem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limite quantitativo máximo de 50 litros ou quilogramas.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21. Os produtos de uso profissional ou de venda restrita a empresa especializada podem ser comercializados em embalagens de, no máximo, 200 litros ou quilogramas.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Parágrafo único. Produtos que utilizam sistema automatizado de dosagem e diluição podem ser comercializados em embalagens acima de 200 litros ou quilogramas.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CAPÍTULO IV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DOS REQUISITOS PARA A NOTIFICAÇÃO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22. Os produtos classificados como de risco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para serem notificados, devem atender ao disposto na Resolução RDC nº 42, de 13 de agosto de 2009 e atualizações, além dos requisitos deste regulamento.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CAPÍTULO V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DOS REQUISITOS PARA O REGISTRO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23. Para o registro dos produtos classificados como de risco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devem ser apresentados os seguintes documentos: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 - formulários emitidos pelo sistema de </w:t>
      </w:r>
      <w:proofErr w:type="spell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peticionamento</w:t>
      </w:r>
      <w:proofErr w:type="spell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eletrônico;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 - via original do comprovante de pagamento da taxa de fiscalização de vigilância sanitária (GRU);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III - laudos, estudo de estabilidade e relatórios exigidos por norma específica;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IV - laudo de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pH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(podendo ser realizado pela própria empresa);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 - modelo de rótulo em duas vias, impresso em papel A4, com resolução que permita a leitura dos dizeres, com as cores e matizes do rótulo final;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 - desenho, croqui ou foto da embalagem;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VII - dados gerais da empresa;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VIII - cópia do alvará sanitário ou pedido de renovação (ambos do ano vigente);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proofErr w:type="gramEnd"/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IX - cópia do alvará sanitário ou pedido de renovação (ambos do ano vigente) da empresa terceirizada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se for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caso.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Parágrafo único. No inciso V, caso ocorra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necessidade de efetuar ajuste para adequar ao tamanho A4, a relação de escala deve ser informada.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proofErr w:type="gramStart"/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CAPÍTULO VI</w:t>
      </w:r>
      <w:proofErr w:type="gramEnd"/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DAS TOLERÂNCIAS ANALÍTICAS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24. Para fins de análise prévia e fiscal e de controle de produção, a variação quantitativa aceitável, expressa em porcentagem (%), entre a quantidade declarada e a analisada de cada componente da formulação, deve obedecer aos limites estabelecidos na tabela contida no Anexo I desta Resolução.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§1º Para fins de controle de produção, as concentrações dos componentes na fórmula-padrão podem ser expressas por intervalos.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§2º No caso das concentrações dos componentes na fórmula</w:t>
      </w:r>
      <w:r w:rsidR="00BD791F"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padrão serem expressas por intervalos, a concentração média de cada componente deve ser igual ao </w:t>
      </w: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valor declarado na notificação/registro e os limites do intervalo (variação em torno da média) devem atender às variações aceitáveis da tabela contida no Anexo I desta Resolução.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§3º Excluem-se desta variação os produtos que apresentem limites quantitativos em regulamentos específicos.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§4º Para fins de análise prévia, os dados físicos químicos podem ser expressos por intervalos.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CAPÍTULO VII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DA EMBALAGEM E ROTULAGEM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25. O material da embalagem primária deve possuir composição e porosidade adequadas de modo a não permitir que ocorram: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 - reações químicas entre o produto e a embalagem;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 - mudança de cor do produto;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III - transferência de odores;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IV - migração de substâncias para o produto;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ou</w:t>
      </w:r>
      <w:proofErr w:type="gramEnd"/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 - migração do produto para o meio externo.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26. A embalagem deve ser bem vedada, com fechamento que impeça vazamentos ou eventuais acidentes e de tal maneira que possa voltar a ser fechada várias vezes durante o uso, sem o risco de contato com o produto, dificultando a abertura acidental ou casual durante o período de utilização do produto.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27. É proibida a utilização de embalagem e rotulagem que possibilitem interpretação falsa, erro ou confusão quanto à origem, procedência, natureza, composição ou qualidade que atribua ao produto finalidade ou característica diferente daquela a que se destina.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28. É proibido o reaproveitamento de embalagens usadas de alimentos, bebidas, produtos dietéticos, medicamentos, drogas, produtos de higiene, cosméticos e perfumes, para acondicionamento dos produtos saneantes.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29. As informações obrigatórias não podem estar escritas sobre partes removíveis para o uso, como tampas, travas de segurança e outras, que se inutilizem ao abrir a embalagem.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Parágrafo único. É proibida a inscrição de lote, data de fabricação e validade sobre partes removíveis para o uso.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30. Quando a superfície da embalagem primária não permitir a indicação de todos os dizeres de rotulagem, nesta deve constar, obrigatoriamente, no mínimo: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 - o nome do produto;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 - componente ativo ou matéria ativa ou princípio ativo;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III - lote;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IV - data de validade;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proofErr w:type="gramEnd"/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 - advertência: "Antes de usar leia as instruções do prospecto explicativo" ou frase similar.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Parágrafo único. As demais informações que não constem na superfície da embalagem primária devem ser indicadas em prospecto ou equivalente, que acompanhe obrigatoriamente o produto.</w:t>
      </w:r>
    </w:p>
    <w:p w:rsidR="003550C0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31. Quando necessário, a empresa dispõe de até 60 (sessenta) dias, sem prorrogação, para escoamento dos rótulos anteriormente aprovados, após a publicação de um pleito que possa alterar o rótulo.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§1º É proibido o escoamento de rótulo para produtos de risco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§2º Excetua-se deste artigo o pleito de modificação de fórmula de produto de risco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32. Os dizeres de rotulagem devem seguir normas específicas.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CAPÍTULO VIII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DA COMPROVAÇÃO DO PRAZO DE VALIDADE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33. Para produtos de risco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com prazo de validade de até 36 meses, a apresentação do estudo de estabilidade no momento do </w:t>
      </w:r>
      <w:proofErr w:type="spell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peticionamento</w:t>
      </w:r>
      <w:proofErr w:type="spell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eletrônico é facultativa, podendo ser realizado por laboratório contratado ou pela própria empresa.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Parágrafo único. O arquivo do estudo deve ser anexado no momento do </w:t>
      </w:r>
      <w:proofErr w:type="spell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peticionamento</w:t>
      </w:r>
      <w:proofErr w:type="spell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quando o prazo de validade for superior a 36 meses.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Art. 34. Para produtos de risco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o prazo de validade proposto deve ser comprovado por meio de estudo de estabilidade acelerado ou de longa duração, apresentado no momento do registro.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§1º O decréscimo entre o teor de componente ativo ou matéria ativa ou princípio ativo inicial e final, no estudo de estabilidade acelerado, não pode ser maior que 5%.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§2º O estudo de estabilidade acelerado deve ser realizado a 54º C ± 2º C durante 14 dias.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§3º Para formulações que apresentem perda significativa de teor de componente ativo ou matéria ativa ou princípio ativo devido à temperatura elevada ou cujas condições do estudo de estabilidade acelerado não reproduzam de forma realística o armazenamento do produto, os seguintes tempos e temperaturas devem ser usados: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 - 28 dias a 50º C ± 2º;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 - 42 dias a 45º C ± 2º;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III - 56 dias a 40º C ± 2º;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IV - 84 dias a 35º C ± 2º;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ou</w:t>
      </w:r>
      <w:proofErr w:type="gramEnd"/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 - 126 dias a 30º C ± 2º.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§4º O prazo de validade projetado com base no estudo de estabilidade acelerado é de no máximo 24 meses.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§5º A empresa que optar pelo estudo de estabilidade acelerado deve iniciar, concomitantemente, um estudo de estabilidade de longa duração com mesma amostra até atingir o prazo de validade pretendido.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§6º Os resultados obtidos no estudo de estabilidade de longa duração, disposto no parágrafo anterior, devem ser apresentados: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 - no momento da primeira revalidação do registro;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ou</w:t>
      </w:r>
      <w:proofErr w:type="gramEnd"/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II - quando não confirmarem os resultados do estudo de estabilidade acelerado;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ou</w:t>
      </w:r>
      <w:proofErr w:type="gramEnd"/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III - quando exigidos pela autoridade sanitária.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§7º Quando não confirmarem os resultados do estudo de estabilidade acelerado, a empresa deve solicitar alteração do prazo de validade, conforme resultado alcançado pelo estudo de estabilidade de longa duração.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§8º O estudo de estabilidade de longa duração é composto por análises, quanto ao teor de componente ativo ou matéria ativa ou princípio ativo,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realizadas sobre uma mesma amostra, armazenada à temperatura ambiente, nas seguintes situações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 - análise inicial (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recém produzida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);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II - análises intermediárias;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proofErr w:type="gramEnd"/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III - análise final (prazo de validade).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§9º As análises inicial e final devem ser realizadas em laboratório acreditado.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§10. As análises intermediárias, com periodicidade determinada pela empresa, podem ser </w:t>
      </w:r>
      <w:proofErr w:type="gramStart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realizadas em laboratório próprio ou terceirizado</w:t>
      </w:r>
      <w:proofErr w:type="gramEnd"/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§11. A variação entre o teor de componente ativo ou matéria ativa ou princípio ativo inicial e final, no estudo de estabilidade de longa duração, deve obedecer aos limites estabelecidos no Anexo I.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CAPÍTULO IX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DAS DISPOSIÇÕES FINAIS E TRANSITÓRIAS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35. A partir da publicação desta Resolução, a notificação e o registro de novos produtos devem atender na íntegra este regulamento</w:t>
      </w: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82116F" w:rsidRPr="00781DB1" w:rsidRDefault="0082116F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35. A partir da vigência desta Resolução, a notificação e o registro de novos produtos devem atender na íntegra este regulamento. </w:t>
      </w:r>
      <w:r w:rsidRPr="00781DB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(Retificado pelo DOU nº 04, de 06 de janeiro de 2011</w:t>
      </w:r>
      <w:proofErr w:type="gramStart"/>
      <w:r w:rsidRPr="00781DB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36. Os produtos já notificados e registrados que não atendam na íntegra este regulamento devem adequar-se no momento da revalidação ou da primeira solicitação de alteração.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37. O descumprimento das disposições contidas nesta Resolução e no regulamento por ela aprovado constitui infração sanitária, nos termos da Lei nº 6.437, de 20 de agosto de 1977, sem prejuízo das responsabilidades civil, administrativa e penal cabíveis.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38. Ficam revogadas a Resolução RDC nº 184, de 22 de outubro de 2001, a Resolução RE nº 3169, de 22 de setembro de 2006, os itens 3.2 e 3.3 do Anexo da Resolução RDC nº 38, de 28 de abril de 2000 e a Resolução RDC nº 32, de 05 de fevereiro de 2002.</w:t>
      </w:r>
    </w:p>
    <w:p w:rsidR="00DA2CC1" w:rsidRPr="00781DB1" w:rsidRDefault="00DA2CC1" w:rsidP="00DA2C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Art. 39. Esta Resolução entra em vigor no prazo de noventa dias, a partir da data de sua publicação.</w:t>
      </w:r>
    </w:p>
    <w:p w:rsidR="00DA2CC1" w:rsidRPr="00781DB1" w:rsidRDefault="00DA2CC1" w:rsidP="00DA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DIRCEU RAPOSO DE MELLO</w:t>
      </w:r>
    </w:p>
    <w:p w:rsidR="000C404A" w:rsidRPr="00781DB1" w:rsidRDefault="000C404A" w:rsidP="004B40A1">
      <w:pPr>
        <w:spacing w:before="300" w:after="30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4B40A1" w:rsidRPr="00781DB1" w:rsidRDefault="000C404A" w:rsidP="000C404A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781D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</w:t>
      </w:r>
      <w:r w:rsidR="004B40A1" w:rsidRPr="00781D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NEXO 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C404A" w:rsidRPr="00781DB1" w:rsidTr="000C404A">
        <w:tc>
          <w:tcPr>
            <w:tcW w:w="4322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Quantidade declarada do componente (%) </w:t>
            </w:r>
          </w:p>
        </w:tc>
        <w:tc>
          <w:tcPr>
            <w:tcW w:w="4322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Variação aceitável (%) </w:t>
            </w:r>
          </w:p>
        </w:tc>
      </w:tr>
      <w:tr w:rsidR="000C404A" w:rsidRPr="00781DB1" w:rsidTr="000C404A">
        <w:tc>
          <w:tcPr>
            <w:tcW w:w="4322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Maior ou igual que 50 </w:t>
            </w:r>
          </w:p>
        </w:tc>
        <w:tc>
          <w:tcPr>
            <w:tcW w:w="4322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2,5 </w:t>
            </w:r>
          </w:p>
        </w:tc>
      </w:tr>
      <w:tr w:rsidR="000C404A" w:rsidRPr="00781DB1" w:rsidTr="000C404A">
        <w:tc>
          <w:tcPr>
            <w:tcW w:w="4322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Maior ou igual que 25 e menor que 50 </w:t>
            </w:r>
          </w:p>
        </w:tc>
        <w:tc>
          <w:tcPr>
            <w:tcW w:w="4322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5,0 </w:t>
            </w:r>
          </w:p>
        </w:tc>
      </w:tr>
      <w:tr w:rsidR="000C404A" w:rsidRPr="00781DB1" w:rsidTr="000C404A">
        <w:tc>
          <w:tcPr>
            <w:tcW w:w="4322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Maior ou igual que 10 e menor que 25 </w:t>
            </w:r>
          </w:p>
        </w:tc>
        <w:tc>
          <w:tcPr>
            <w:tcW w:w="4322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6,0 </w:t>
            </w:r>
          </w:p>
        </w:tc>
      </w:tr>
      <w:tr w:rsidR="000C404A" w:rsidRPr="00781DB1" w:rsidTr="000C404A">
        <w:tc>
          <w:tcPr>
            <w:tcW w:w="4322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Maior ou igual que 2,5 e menor que 10 </w:t>
            </w:r>
          </w:p>
        </w:tc>
        <w:tc>
          <w:tcPr>
            <w:tcW w:w="4322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10,0 </w:t>
            </w:r>
          </w:p>
        </w:tc>
      </w:tr>
      <w:tr w:rsidR="000C404A" w:rsidRPr="00781DB1" w:rsidTr="000C404A">
        <w:tc>
          <w:tcPr>
            <w:tcW w:w="4322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Menor que 2,5 </w:t>
            </w:r>
          </w:p>
        </w:tc>
        <w:tc>
          <w:tcPr>
            <w:tcW w:w="4322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15,0</w:t>
            </w:r>
          </w:p>
        </w:tc>
      </w:tr>
    </w:tbl>
    <w:p w:rsidR="000C404A" w:rsidRPr="00781DB1" w:rsidRDefault="000C404A" w:rsidP="004B40A1">
      <w:pPr>
        <w:spacing w:before="300" w:after="30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4B40A1" w:rsidRPr="00781DB1" w:rsidRDefault="004B40A1" w:rsidP="000C404A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bookmarkStart w:id="0" w:name="_GoBack"/>
      <w:r w:rsidRPr="00781D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ANEXO II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C404A" w:rsidRPr="00781DB1" w:rsidTr="000C404A">
        <w:tc>
          <w:tcPr>
            <w:tcW w:w="8644" w:type="dxa"/>
          </w:tcPr>
          <w:bookmarkEnd w:id="0"/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CAT EGORIAS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ABRILHANTADOR DE FOLHAS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ÁGUA SANITÁRIA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ALGICIDA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ALVEJANTE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ALVEJANTE CLORADO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AMACIANTE DE TECIDOS E ROUPAS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CERA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DESENGRAXANTE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DESINCRUSTANTE ÁCIDO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DESINCRUSTANTE ALCALINO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DESINFETANTE DE ÁGUA PARA CONSUMO HUMANO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DESINFETANTE DE ALTO NÍVEL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DESINFETANTE DE NÍVEL INTERMEDIÁRIO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DESINFETANTE HOSPITALAR PARA ARTIGOS SEMICRÍTICOS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DESINFETANTE HOSPITALAR PARA SUPERFÍCIES FIXAS E ARTIGOS NÃO CRÍTICOS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0C404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8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DESINFETANTE PARA HORTIFRUTÍCOLAS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DESINFETANTE PARA </w:t>
            </w:r>
            <w:proofErr w:type="gramStart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>INDÚSTRIA ALIMENTÍCIA E AFINS</w:t>
            </w:r>
            <w:proofErr w:type="gramEnd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DESINFETANTE PARA LACTÁRIOS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DESINFETANTE PARA PISCINAS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DESINFETANTE PARA ROUPAS HOSPITALARES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DESINFETANTE PARA TECIDOS E ROUPAS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DESINFETANTE PARA USO ESPECÍFICO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DESINFETANTE PARA USO GERAL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DESODORIZANTE AMBIENTAL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DESODORIZANTE PARA APARELHOS SANITÁRIOS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DESODORIZANTE PARA USO ESPECÍFICO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DESUMIDIFICADOR DE AMBIENTES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DETERGENTE ANTIFERRUGINOSO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DETERGENTE AUTOMOTIVO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DETERGENTE DESENGORDURANTE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DETERGENTE ENZIMÁTICO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DETERGENTE </w:t>
            </w:r>
            <w:proofErr w:type="gramStart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>LIMPA MÓVEIS</w:t>
            </w:r>
            <w:proofErr w:type="gramEnd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>DETERGENTE LIMPA PISOS</w:t>
            </w:r>
            <w:proofErr w:type="gramEnd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DETERGENTE </w:t>
            </w:r>
            <w:proofErr w:type="gramStart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>LIMPA PLÁSTICOS</w:t>
            </w:r>
            <w:proofErr w:type="gramEnd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>DETERGENTE LIMPA PNEUS</w:t>
            </w:r>
            <w:proofErr w:type="gramEnd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>DETERGENTE LIMPA VIDROS</w:t>
            </w:r>
            <w:proofErr w:type="gramEnd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DETERGENTE PARA LAVAR LOUÇAS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DETERGENTE PARA LAVAR ROUPAS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DETERGENTE PARA </w:t>
            </w:r>
            <w:proofErr w:type="gramStart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>PRÉ LAVAGENS</w:t>
            </w:r>
            <w:proofErr w:type="gramEnd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DETERGENTE PARA USO ESPECÍFICO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DETERGENTE PARA USO GERAL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DETERGENTE POLIDOR PARA SUPERFÍCIES METÁLICAS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DETERGENTE PROFISSIONAL DESINCRUSTANTE ÁCIDO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DETERGENTE PROFISSIONAL SOLVENTE ETILENO CLORADO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DETERGENTE SANITÁRIO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ENGOMADOR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ESTERILIZANTE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FACILITADOR PARA PASSAR ROUPAS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FINALIZADOR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FUNGICIDA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IMPERMEABILIZANTE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INSETICIDA DE VENDA LIVRE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INSETICIDA PARA EMPRESAS ESPECIALIZADAS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JARDINAGEM AMADORA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LAVA LOUÇAS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LAVA ROUPAS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>LIMPA ALUMÍNIO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LIMPA BORRACHAS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>LIMPA CALÇADO</w:t>
            </w:r>
            <w:proofErr w:type="gramEnd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LIMPA CARPETES E TAPETES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LIMPA COUROS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>LIMPA MÓVEIS</w:t>
            </w:r>
            <w:proofErr w:type="gramEnd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LIMPA PISOS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>LIMPA PLÁSTICOS</w:t>
            </w:r>
            <w:proofErr w:type="gramEnd"/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LIMPA PNEUS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LIMPA VIDROS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LIMPADOR ANTIFERRUGINOSO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LIMPADOR DE AR CONDICIONADO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LIMPADOR DE PISCINAS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LIMPADOR DE USO GERAL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LIMPADOR DESENGORDURANTE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MOLUSCICIDA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NEUTRALIZADOR DE ODORES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NEUTRALIZADOR DE ODORES COM AÇÃO ANTIMICROBIANA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NEUTRALIZADOR DE RESÍDUO ÁCIDO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NEUTRALIZADOR DE RESÍDUO ALCALINO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ODORIZANTE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ODORIZANTE COM AÇÃO ANTIMICROBIANA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POLIDOR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POLIDOR DE SAPATOS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PRODUTO BIOLÓGICO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RATICIDA DE VENDA LIVRE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RATICIDA PARA EMPRESAS ESPECIALIZADAS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REMOVEDOR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>REPELENTE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 SABÃO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SANITIZANTE PARA INDÚSTRIA ALIMENTÍCIA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SANITIZANTE PARA ROUPAS HOSPITALARES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SANITIZANTE PARA TECIDOS E ROUPAS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SANITIZANTE PARA USO ESPECÍFICO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SANITIZANTE PARA USO GERAL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SAPONÁCEO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SECANTE ABRILHANTADOR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 xml:space="preserve">SELADOR </w:t>
            </w:r>
          </w:p>
        </w:tc>
      </w:tr>
      <w:tr w:rsidR="000C404A" w:rsidRPr="00781DB1" w:rsidTr="000C404A">
        <w:tc>
          <w:tcPr>
            <w:tcW w:w="8644" w:type="dxa"/>
          </w:tcPr>
          <w:p w:rsidR="000C404A" w:rsidRPr="00781DB1" w:rsidRDefault="000C404A" w:rsidP="00D0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DB1">
              <w:rPr>
                <w:rFonts w:ascii="Times New Roman" w:hAnsi="Times New Roman" w:cs="Times New Roman"/>
                <w:sz w:val="24"/>
                <w:szCs w:val="24"/>
              </w:rPr>
              <w:t>TIRA MANCHAS</w:t>
            </w:r>
          </w:p>
        </w:tc>
      </w:tr>
    </w:tbl>
    <w:p w:rsidR="000C404A" w:rsidRPr="00781DB1" w:rsidRDefault="000C404A" w:rsidP="000C404A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0C404A" w:rsidRPr="00781DB1" w:rsidSect="00A5235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DB1" w:rsidRDefault="00781DB1" w:rsidP="00781DB1">
      <w:pPr>
        <w:spacing w:after="0" w:line="240" w:lineRule="auto"/>
      </w:pPr>
      <w:r>
        <w:separator/>
      </w:r>
    </w:p>
  </w:endnote>
  <w:endnote w:type="continuationSeparator" w:id="0">
    <w:p w:rsidR="00781DB1" w:rsidRDefault="00781DB1" w:rsidP="0078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DB1" w:rsidRPr="00781DB1" w:rsidRDefault="00781DB1" w:rsidP="00781DB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DB1" w:rsidRDefault="00781DB1" w:rsidP="00781DB1">
      <w:pPr>
        <w:spacing w:after="0" w:line="240" w:lineRule="auto"/>
      </w:pPr>
      <w:r>
        <w:separator/>
      </w:r>
    </w:p>
  </w:footnote>
  <w:footnote w:type="continuationSeparator" w:id="0">
    <w:p w:rsidR="00781DB1" w:rsidRDefault="00781DB1" w:rsidP="0078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DB1" w:rsidRPr="00B517AC" w:rsidRDefault="00781DB1" w:rsidP="00781DB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2395486" wp14:editId="2C6C781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81DB1" w:rsidRPr="00B517AC" w:rsidRDefault="00781DB1" w:rsidP="00781DB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781DB1" w:rsidRPr="00B517AC" w:rsidRDefault="00781DB1" w:rsidP="00781DB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81DB1" w:rsidRDefault="00781DB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6E4"/>
    <w:rsid w:val="000C404A"/>
    <w:rsid w:val="001E708B"/>
    <w:rsid w:val="002B7140"/>
    <w:rsid w:val="003550C0"/>
    <w:rsid w:val="004B40A1"/>
    <w:rsid w:val="007441BF"/>
    <w:rsid w:val="00751264"/>
    <w:rsid w:val="00781DB1"/>
    <w:rsid w:val="00786686"/>
    <w:rsid w:val="007B36E4"/>
    <w:rsid w:val="007F13A3"/>
    <w:rsid w:val="0082116F"/>
    <w:rsid w:val="00A52355"/>
    <w:rsid w:val="00B30817"/>
    <w:rsid w:val="00BD791F"/>
    <w:rsid w:val="00D121E5"/>
    <w:rsid w:val="00D621E1"/>
    <w:rsid w:val="00DA2CC1"/>
    <w:rsid w:val="00F343B6"/>
    <w:rsid w:val="00FB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355"/>
  </w:style>
  <w:style w:type="paragraph" w:styleId="Ttulo2">
    <w:name w:val="heading 2"/>
    <w:basedOn w:val="Normal"/>
    <w:link w:val="Ttulo2Char"/>
    <w:uiPriority w:val="9"/>
    <w:qFormat/>
    <w:rsid w:val="00DA2CC1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2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DA2CC1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A2CC1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textocenter">
    <w:name w:val="texto_center"/>
    <w:basedOn w:val="Normal"/>
    <w:rsid w:val="00DA2CC1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alineas">
    <w:name w:val="alineas"/>
    <w:basedOn w:val="Normal"/>
    <w:rsid w:val="00DA2CC1"/>
    <w:pPr>
      <w:spacing w:before="100" w:beforeAutospacing="1" w:after="100" w:afterAutospacing="1" w:line="240" w:lineRule="auto"/>
      <w:ind w:left="750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8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1DB1"/>
  </w:style>
  <w:style w:type="paragraph" w:styleId="Rodap">
    <w:name w:val="footer"/>
    <w:basedOn w:val="Normal"/>
    <w:link w:val="RodapChar"/>
    <w:uiPriority w:val="99"/>
    <w:unhideWhenUsed/>
    <w:rsid w:val="0078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1DB1"/>
  </w:style>
  <w:style w:type="paragraph" w:styleId="Textodebalo">
    <w:name w:val="Balloon Text"/>
    <w:basedOn w:val="Normal"/>
    <w:link w:val="TextodebaloChar"/>
    <w:uiPriority w:val="99"/>
    <w:semiHidden/>
    <w:unhideWhenUsed/>
    <w:rsid w:val="0078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D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A2CC1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2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DA2CC1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A2CC1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textocenter">
    <w:name w:val="texto_center"/>
    <w:basedOn w:val="Normal"/>
    <w:rsid w:val="00DA2CC1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alineas">
    <w:name w:val="alineas"/>
    <w:basedOn w:val="Normal"/>
    <w:rsid w:val="00DA2CC1"/>
    <w:pPr>
      <w:spacing w:before="100" w:beforeAutospacing="1" w:after="100" w:afterAutospacing="1" w:line="240" w:lineRule="auto"/>
      <w:ind w:left="750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758869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374A22-D0BC-4B5A-AA92-0AA70570E0C6}"/>
</file>

<file path=customXml/itemProps2.xml><?xml version="1.0" encoding="utf-8"?>
<ds:datastoreItem xmlns:ds="http://schemas.openxmlformats.org/officeDocument/2006/customXml" ds:itemID="{A0BD9314-015D-4CE4-91C1-ACF812E56143}"/>
</file>

<file path=customXml/itemProps3.xml><?xml version="1.0" encoding="utf-8"?>
<ds:datastoreItem xmlns:ds="http://schemas.openxmlformats.org/officeDocument/2006/customXml" ds:itemID="{D81FD8D8-8BBF-4BEA-A0E2-A5A3E55712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16</Pages>
  <Words>3918</Words>
  <Characters>21158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cp:lastPrinted>2016-10-31T11:49:00Z</cp:lastPrinted>
  <dcterms:created xsi:type="dcterms:W3CDTF">2016-04-27T18:59:00Z</dcterms:created>
  <dcterms:modified xsi:type="dcterms:W3CDTF">2016-10-31T11:49:00Z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