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1FA" w:rsidRPr="00196BFF" w:rsidRDefault="003C71FA" w:rsidP="00196BFF">
      <w:pPr>
        <w:pStyle w:val="Ttulo1"/>
        <w:divId w:val="157512100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96BFF">
        <w:rPr>
          <w:rFonts w:ascii="Times New Roman" w:hAnsi="Times New Roman" w:cs="Times New Roman"/>
          <w:sz w:val="24"/>
          <w:szCs w:val="24"/>
        </w:rPr>
        <w:t>RESOLUÇÃO DE DIRETORIA COLEGIADA Nº 61, DE 25 DE AGOSTO DE 2008</w:t>
      </w:r>
    </w:p>
    <w:p w:rsidR="00196BFF" w:rsidRPr="00196BFF" w:rsidRDefault="00196BFF" w:rsidP="00196BFF">
      <w:pPr>
        <w:pStyle w:val="Corpodetexto2"/>
        <w:spacing w:after="100" w:line="240" w:lineRule="auto"/>
        <w:jc w:val="center"/>
        <w:divId w:val="1575121004"/>
        <w:rPr>
          <w:b/>
          <w:color w:val="0000FF"/>
        </w:rPr>
      </w:pPr>
      <w:r w:rsidRPr="00196BFF">
        <w:rPr>
          <w:b/>
          <w:color w:val="0000FF"/>
        </w:rPr>
        <w:t>(Publicada no DOU nº 164, de 26 de agosto de 2008)</w:t>
      </w:r>
    </w:p>
    <w:p w:rsidR="00196BFF" w:rsidRPr="00196BFF" w:rsidRDefault="00196BFF" w:rsidP="00196BFF">
      <w:pPr>
        <w:pStyle w:val="Corpodetexto2"/>
        <w:spacing w:after="100" w:line="240" w:lineRule="auto"/>
        <w:jc w:val="center"/>
        <w:divId w:val="1575121004"/>
        <w:rPr>
          <w:b/>
          <w:color w:val="0000FF"/>
        </w:rPr>
      </w:pPr>
      <w:r w:rsidRPr="00196BFF">
        <w:rPr>
          <w:b/>
          <w:color w:val="0000FF"/>
        </w:rPr>
        <w:t>(Revogada pela Resolução – RDC nº 63, de 28 de dezembro de 2012)</w:t>
      </w:r>
    </w:p>
    <w:p w:rsidR="003C71FA" w:rsidRPr="00196BFF" w:rsidRDefault="003C71FA" w:rsidP="00196BFF">
      <w:pPr>
        <w:pStyle w:val="Corpodetexto2"/>
        <w:spacing w:after="100" w:line="240" w:lineRule="auto"/>
        <w:ind w:left="3540"/>
        <w:jc w:val="both"/>
        <w:divId w:val="1575121004"/>
        <w:rPr>
          <w:strike/>
        </w:rPr>
      </w:pPr>
      <w:r w:rsidRPr="00196BFF">
        <w:rPr>
          <w:strike/>
        </w:rPr>
        <w:t>Dispõe sobre Critérios para Harmonização de Nomenclatura (Denominação Comum Brasileira) de Soros e Vacinas.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b/>
          <w:bCs/>
          <w:strike/>
        </w:rPr>
        <w:t>A Diretoria Colegiada da Agência Nacional de Vigilância Sanitária</w:t>
      </w:r>
      <w:r w:rsidRPr="00196BFF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19 de agosto de 2008, e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considerando as competências da Agência Nacional de Vigilância Sanitária face a Lei n° 8.080/90, Lei n° 6.360/76, Lei n.º 9.782/99, Lei n.º 9.787/99, Decreto n° 79.094/77, Decreto n.º 3.029/99, Decreto n° 3.181/99 e Instrução Normativa n.º 1/94;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considerando a Portaria nº. 782, de 27 de junho de 2008 que estabelece competência da Farmacopéia Brasileira de subsidiar a ANVISA na elaboração das Denominações Comuns Brasileiras (DCB) e no estabelecimento de regras de grafia e tradução das Denominações Comuns Brasileiras (DCB) a serem aprovadas pela ANVISA;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considerando a Portaria nº. 142, de 26 de fevereiro de 2008, que nomeou o Comitê Técnico Temático das Denominações Comuns Brasileiras da Farmacopéia Brasileira;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considerando a necessidade de estabelecimento de regras específicas para a nomenclatura e de tradução para as denominações comuns brasileiras de soros e vacinas, elaboradas pela Comitê Técnico Temático das Denominações Comuns Brasileiras, da Comissão da Farmacopéia Brasileira;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considerando a ausência de normas internacionais e recomendações da Organização Mundial da Saúde (OMS), aos seus países membros sobre a nomenclatura se soros e vacinas;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considerando a Consulta Pública nº. 102, de 22 de outubro de 2007, que tornou pública a proposta de regulamento técnico elaborado através de um trabalho conjunto entre as Subcomissões de Denominações Comuns Brasileiras (nomeada pela Portaria nº. 481/2005) e de Imunobiológicos (nomeada pela Portaria nº. 1094/2003) da Farmacopéia Brasileira, juntamente a outros convidados dos setores relacionados ao tema;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lastRenderedPageBreak/>
        <w:t>considerando a Resolução de Diretoria Colegiada n.º 211, de 20 de novembro de 2006 das Denominações Comuns Brasileiras (DCB) e as suas atualizações;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adota a seguinte Resolução da Diretoria Colegiada e eu, Diretor-Presidente, determino a sua publicação:</w:t>
      </w:r>
    </w:p>
    <w:p w:rsidR="003C71FA" w:rsidRPr="00196BFF" w:rsidRDefault="003C71FA" w:rsidP="003C71FA">
      <w:pPr>
        <w:ind w:firstLine="567"/>
        <w:jc w:val="both"/>
        <w:divId w:val="1575121004"/>
        <w:rPr>
          <w:b/>
          <w:bCs/>
          <w:strike/>
        </w:rPr>
      </w:pPr>
      <w:r w:rsidRPr="00196BFF">
        <w:rPr>
          <w:strike/>
        </w:rPr>
        <w:t>Art. 1º Aprovar os Critérios para Harmonização de Nomenclatura (Denominação Comum Brasileira) de Soros e Vacinas na forma do anexo.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Art. 2º Esta Resolução entra em vigor na data de sua publicação.</w:t>
      </w:r>
    </w:p>
    <w:p w:rsidR="003C71FA" w:rsidRPr="00196BFF" w:rsidRDefault="003C71FA" w:rsidP="003C71FA">
      <w:pPr>
        <w:pStyle w:val="Ttulo2"/>
        <w:divId w:val="1575121004"/>
        <w:rPr>
          <w:rFonts w:ascii="Times New Roman" w:hAnsi="Times New Roman" w:cs="Times New Roman"/>
          <w:b w:val="0"/>
          <w:strike/>
          <w:sz w:val="24"/>
          <w:szCs w:val="24"/>
        </w:rPr>
      </w:pPr>
      <w:r w:rsidRPr="00196BFF">
        <w:rPr>
          <w:rFonts w:ascii="Times New Roman" w:hAnsi="Times New Roman" w:cs="Times New Roman"/>
          <w:b w:val="0"/>
          <w:strike/>
          <w:sz w:val="24"/>
          <w:szCs w:val="24"/>
        </w:rPr>
        <w:t>DIRCEU RAPOSO DE MELLO</w:t>
      </w:r>
    </w:p>
    <w:p w:rsidR="003C71FA" w:rsidRPr="00196BFF" w:rsidRDefault="003C71FA" w:rsidP="003C71FA">
      <w:pPr>
        <w:jc w:val="center"/>
        <w:divId w:val="1575121004"/>
        <w:rPr>
          <w:b/>
          <w:bCs/>
          <w:strike/>
        </w:rPr>
      </w:pPr>
      <w:r w:rsidRPr="00196BFF">
        <w:rPr>
          <w:b/>
          <w:bCs/>
          <w:strike/>
        </w:rPr>
        <w:t>ANEXO</w:t>
      </w:r>
    </w:p>
    <w:p w:rsidR="003C71FA" w:rsidRPr="00196BFF" w:rsidRDefault="003C71FA" w:rsidP="003C71FA">
      <w:pPr>
        <w:jc w:val="center"/>
        <w:divId w:val="1575121004"/>
        <w:rPr>
          <w:b/>
          <w:bCs/>
          <w:strike/>
        </w:rPr>
      </w:pPr>
      <w:r w:rsidRPr="00196BFF">
        <w:rPr>
          <w:b/>
          <w:bCs/>
          <w:strike/>
        </w:rPr>
        <w:t>REGULAMENTO TÉCNICO: REGRAS DE TRADUÇÃ</w:t>
      </w:r>
      <w:r w:rsidR="00D21993">
        <w:rPr>
          <w:b/>
          <w:bCs/>
          <w:strike/>
        </w:rPr>
        <w:t>O E GRAFIA PARA SOROS E VACINAS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1. Princípios gerais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1.1. A denominação de uma vacina e/ou soro hiperimune e a seleção de nomes para os produtos imunobiológicos devem satisfazer os critérios das Denominações Comuns Brasileiras – DCB e Denominações Comuns Internacionais – DCI.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1.2. A denominação comum ou genérica brasileira é escrita em letras minúsculas.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1.3. Os nomes comuns ou genéricos deverão distinguir-se fonética e ortograficamente.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1.4. Evitar nomes comuns ou genéricos que, por ortografia e/ou fonética, dêem margem a confusão com outros já em uso.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 xml:space="preserve">1.5. A nomenclatura deverá obedecer à grafia e fonética da língua portuguesa do Brasil, exceto no caso de alguns produtos imunobiológicos em que o nome principal seja o agente patogênico. 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 xml:space="preserve">1.6. Não usar consoante muda no final do nome da vacina e/ou soro hiperimune, ou seja, os nomes terminados em d, n, t e outras consoantes mudas são seguidos de vogais. 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1.7. As vacinas e os soros hiperimunes são apresentados na lista da DCB em ordem alfabética e seguidos pelos respectivos derivados, igualmente relacionados em ordem alfabética, com exceção de nomes já aceitos tradicionalmente.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1.8 Casos não contemplados e/ou que ocasionem dúvidas devem ser encaminhados à Agência Nacional de Vigilância Sanitária (ANVISA), que os submeterá à Comissão da Farmacopéia Brasileira.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lastRenderedPageBreak/>
        <w:t>2. Regras para denominação de vacinas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2.1. Nome (s) principal (ais)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 xml:space="preserve">2.1.1. O nome principal da vacina deve ser constituído do nome da doença ou, para algumas situações em que o agente etiológico não causa uma doença específica, o nome da vacina deve ser constituído do nome formal em latim/grego daquele agente. Os nomes taxonômicos dos microorganismos celulares devem estar em itálico e não devem ser abreviados. 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Exemplos: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vacina hepatite B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vacina pneumocócica (doença pneumocócica)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vacina herpes zoster (doença herpes zoster)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vacina meningocócica (doença meningocócica)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 xml:space="preserve">vacina </w:t>
      </w:r>
      <w:r w:rsidRPr="00196BFF">
        <w:rPr>
          <w:i/>
          <w:iCs/>
          <w:strike/>
        </w:rPr>
        <w:t>Haemophilus influenzae b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2.1.2. Em vacinas tradicionais, estabelecidas há muitos anos, em que os nomes já são amplamente aceitos e utilizados, a denominação permanece inalterada e são indicadas com asteriscos (*) na listagem de nomes propostos apresentada no item 4 deste regulamento.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Exemplo: vacina BCG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2.2. Especificidade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2.2.1. Para evitar ambigüidades entre os nomes das vacinas, selecionar o nome da doença ou do agente etiológico, de forma a distinguir vacinas com denominações semelhantes.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 xml:space="preserve">2.2.2. Na denominação inicial de vacina, se a mesma for adsorvida, deve-se colocar o termo “adsorvida” após a palavra vacina. 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 xml:space="preserve">Exemplo: vacina adsorvida </w:t>
      </w:r>
      <w:bookmarkStart w:id="1" w:name="OLE_LINK1"/>
      <w:bookmarkStart w:id="2" w:name="OLE_LINK2"/>
      <w:r w:rsidRPr="00196BFF">
        <w:rPr>
          <w:strike/>
        </w:rPr>
        <w:t>difteria</w:t>
      </w:r>
      <w:bookmarkEnd w:id="1"/>
      <w:bookmarkEnd w:id="2"/>
      <w:r w:rsidRPr="00196BFF">
        <w:rPr>
          <w:strike/>
        </w:rPr>
        <w:t xml:space="preserve"> e tétano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2.2.3. Para indicar características distintas, não definidas no item 2.2.2, devem ser utilizados especificadores entre parênteses, em letras minúsculas, imediatamente após o nome da doença ou agente etiológico e que são os seguintes: acelular, conjugada, polissacarídica, atenuada, viva, inativada, recombinante, fragmentada, subunitária e virossomal.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Exemplos: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lastRenderedPageBreak/>
        <w:t>vacina adsorvida difteria, tétano e pertussis (acelular)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 xml:space="preserve">vacina </w:t>
      </w:r>
      <w:r w:rsidRPr="00196BFF">
        <w:rPr>
          <w:i/>
          <w:iCs/>
          <w:strike/>
        </w:rPr>
        <w:t>Haemophilus influenzae b</w:t>
      </w:r>
      <w:r w:rsidRPr="00196BFF">
        <w:rPr>
          <w:strike/>
        </w:rPr>
        <w:t xml:space="preserve"> (conjugada)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vacina poliomielite I, II e III (inativada)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vacina poliomielite I, II e III (atenuada)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vacina hepatite B (recombinante)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  <w:lang w:val="es-ES_tradnl"/>
        </w:rPr>
      </w:pPr>
      <w:r w:rsidRPr="00196BFF">
        <w:rPr>
          <w:strike/>
          <w:lang w:val="es-ES_tradnl"/>
        </w:rPr>
        <w:t>vacina influenza (fragmentada)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vacina influenza (subunitária)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vacina hepatite A (virossomal)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2.2.4. Em casos específicos nos quais ocorram alterações na formulação e seja relevante a diferenciação de uso, deve ser adicionado ao final do nome do produto o termo apropriado.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2.2.5. Para indicar até no máximo 6 sorotipos específicos, devem ser adicionados, após o nome da vacina, letras e/ou números. No caso de os sorotipos serem definidos por letras, utilizar maiúsculas e sem espaço. Quando definidos por números devem ser separados por vírgulas. A partir de sete sorotipos usar o número seguido de hífem e da palavra valente sem espaço. Outros especificadores devem ser colocados após os sorotipos.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Exemplos: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vacina meningocócica AC (polissacarídica)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vacina meningocócica ACWY (conjugada)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vacina papilomavírus humano 6, 11, 16 e 18 (recombinante)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vacina pneumocócica 7-valente (conjugada)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vacina pneumocócica 23-valente (polissacarídica)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  <w:lang w:val="es-ES_tradnl"/>
        </w:rPr>
      </w:pPr>
      <w:r w:rsidRPr="00196BFF">
        <w:rPr>
          <w:strike/>
          <w:lang w:val="es-ES_tradnl"/>
        </w:rPr>
        <w:t>vacina poliomielite 1, 2, 3 (atenuada)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2.2.6. Em algumas vacinas, quando for necessária a distinção da origem do agente patogênico, o termo especificador deve ser colocado após o nome do agente.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Exemplos: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vacina rotavírus humano G1P1[8] (atenuada)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lastRenderedPageBreak/>
        <w:t>vacina rotavírus humano/bovino G1, G2, G3, G4 e P1[8] (atenuada)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2.3. Vacinas combinadas com diferentes agentes etiológicos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2.3.1. Denominações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2.3.1.1. Para vacinas com antígenos para prevenir duas ou mais doenças, os nomes devem ser separados por vírgulas (,) e em ordem alfabética.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2.3.1.2. Em combinações de vacinas tradicionais, em que os nomes já são aceitos e amplamente utilizados, a seqüência dos antígenos permanece inalterada, independente da ordem alfabética dos componentes.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 xml:space="preserve">Exemplos: 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vacina adsorvida difteria, tétano e pertussis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 xml:space="preserve">vacina sarampo, caxumba e rubéola 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2.3.1.3. Quando um novo antígeno for adicionado a uma combinação já existente, o nome do novo componente deve ser posicionado após os antígenos previamente combinados.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Exemplos: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 xml:space="preserve">vacina adsorvida difteria, tétano, pertussis, e </w:t>
      </w:r>
      <w:r w:rsidRPr="00196BFF">
        <w:rPr>
          <w:i/>
          <w:iCs/>
          <w:strike/>
        </w:rPr>
        <w:t>Haemophilus influenzae</w:t>
      </w:r>
      <w:r w:rsidRPr="00196BFF">
        <w:rPr>
          <w:strike/>
        </w:rPr>
        <w:t xml:space="preserve"> b (conjugada)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 xml:space="preserve">vacina sarampo, caxumba, rubéola e varicela. 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2.3.1.4. Quando diversos antígenos forem adicionados simultaneamente a uma determinada combinação existente, os novos antígenos devem ser posicionados, em ordem alfabética, após os antígenos previamente combinados.  No caso de vacinas com reconstituição extemporânea o nome do produto liofilizado deverá ser colocado no final, independentemente de ordem alfabética.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Exemplos: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 xml:space="preserve">vacina adsorvida difteria, tétano, pertussis (acelular), hepatite B (recombinante), poliomielite 1, 2 e 3 (inativada), </w:t>
      </w:r>
      <w:r w:rsidRPr="00196BFF">
        <w:rPr>
          <w:i/>
          <w:iCs/>
          <w:strike/>
        </w:rPr>
        <w:t>Haemophilus influenzae</w:t>
      </w:r>
      <w:r w:rsidRPr="00196BFF">
        <w:rPr>
          <w:strike/>
        </w:rPr>
        <w:t xml:space="preserve"> b (conjugada) 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3. Regras para denominação de soros hiperimunes heterólogos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3.1. Nome (s) principal (ais)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lastRenderedPageBreak/>
        <w:t xml:space="preserve">3.1.1. Após o nome soro, deve ser utilizado o prefixo de origem grega anti-, seguido pelo radical específico sem o emprego de hífen, com exceção de radicais iniciados por h, r ou s, em que é necessário o acréscimo do hífen. 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3.1.2. O radical do nome principal do soro deve ser constituído pelo radical referente às toxinas bacterianas, bactérias, vírus e gênero de animais peçonhentos especificamente neutralizados pelo soro.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3.1.3. O sufixo grego – ico – deve ser adicionado para qualificar o radical.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Exemplo: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soro antibotrópico, em que o radical se refere às serpentes do gênero Bothrops.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3.1.4. Em soros com nomenclatura tradicionais, em que os nomes já são amplamente aceitos e utilizados, a denominação permanece inalterada e são indicados com asterisco (*) na listagem de exemplos de nomenclatura de soros e vacinas, constante no item 4.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Exemplos: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O soro antielapídico se refere à família das serpentes corais e não ao gênero Micrurus.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O soro antiescorpiônico se refere ao gênero Tityus.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3.2. Especificidade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3.2.1. Para evitar ambigüidades entre os nomes dos soros, selecionar o nome da toxina bacteriana, bactéria, vírus e gênero de animais peçonhentos, de forma a distinguir os soros com denominações semelhantes.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3.2.2. Para soros contra células humanas, o nome principal deve ser constituído do nome célula utilizado como agente imunizante, seguido do nome do animal empregado, entre parênteses.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Exemplo: soro antitimócito (coelho)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 xml:space="preserve">3.2.3. Para identificar um soro por seu número de tipos, grupos ou antígenos neutralizados, a quantidade dos componentes ou valência é adicionada, entre parênteses, após o nome principal. Para soros que neutralizam acima de uma valência, utilizar termo numérico (bivalente ou trivalente). 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Exemplos: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soro antibotulínico (trivalente), o que significa dizer que neutraliza três tipos de toxina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soro antibotrópico (pentavalente), o que significa dizer que  neutraliza venenos de cinco espécies de Bothrops.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3.3. Denominação de soros combinados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3.3.1. Para soros contendo imunoglobulinas heterólogas para neutralizar dois ou mais antígenos, os nomes devem ser separados por vírgulas, com exceção do soro antiaracnídico tradicionalmente utilizado.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Exemplos: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soro antibotrópico (pentavalente), anticrotálico e antilaquético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soro antiaracnídico (Loxosceles e Phoneutria) e antiescorpiônico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3.3.2. Em combinações de soros que neutralizam diversos antígenos, os nomes principais são listados em ordem alfabética, de acordo com os nomes oficiais dos soros.</w:t>
      </w:r>
    </w:p>
    <w:p w:rsidR="003C71FA" w:rsidRPr="00196BFF" w:rsidRDefault="003C71FA" w:rsidP="003C71FA">
      <w:pPr>
        <w:ind w:firstLine="567"/>
        <w:jc w:val="both"/>
        <w:divId w:val="1575121004"/>
        <w:rPr>
          <w:strike/>
        </w:rPr>
      </w:pPr>
      <w:r w:rsidRPr="00196BFF">
        <w:rPr>
          <w:strike/>
        </w:rPr>
        <w:t>4. A aplicação das regras para nomenclatura de soros e vacinas está exemplificada na lista a seguir:</w:t>
      </w:r>
    </w:p>
    <w:tbl>
      <w:tblPr>
        <w:tblW w:w="6804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"/>
        <w:gridCol w:w="6226"/>
      </w:tblGrid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4.1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soro antiaracnídico* (Loxosceles e Phoneutria) e antiescorpiônico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soro antibotrópico (pentavalente)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4.3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soro antibotrópico (pentavalente) e anticrotálico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4.4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 xml:space="preserve">soro antibotrópico (pentavalente), anticrotálico e antilaquético 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4.5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 xml:space="preserve">soro antibotrópico (pentavalente) e antilaquético 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4.6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soro antibotulínico (trivalente)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4.7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soro anticrotálico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4.8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soro antidiftérico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4.9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soro antielapídico* (bivalente)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4.10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soro antiescorpiônico*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4.11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 xml:space="preserve">soro antilonômico 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4.12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soro antiloxoscélico (trivalente)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4.13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soro anti-rábico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4.14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soro antitetânico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4.15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soro antitimócito (coelho)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4.16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soro antitimócito (eqüino)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  <w:lang w:val="es-ES_tradnl"/>
              </w:rPr>
            </w:pPr>
            <w:r w:rsidRPr="00D21993">
              <w:rPr>
                <w:strike/>
                <w:lang w:val="es-ES_tradnl"/>
              </w:rPr>
              <w:t>4.17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  <w:lang w:val="es-ES_tradnl"/>
              </w:rPr>
            </w:pPr>
            <w:r w:rsidRPr="00D21993">
              <w:rPr>
                <w:strike/>
                <w:lang w:val="es-ES_tradnl"/>
              </w:rPr>
              <w:t>vacina BCG*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  <w:lang w:val="es-ES_tradnl"/>
              </w:rPr>
            </w:pPr>
            <w:r w:rsidRPr="00D21993">
              <w:rPr>
                <w:strike/>
                <w:lang w:val="es-ES_tradnl"/>
              </w:rPr>
              <w:t>4.18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  <w:lang w:val="es-ES_tradnl"/>
              </w:rPr>
            </w:pPr>
            <w:r w:rsidRPr="00D21993">
              <w:rPr>
                <w:strike/>
                <w:lang w:val="es-ES_tradnl"/>
              </w:rPr>
              <w:t>vacina caxumba (atenuada)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4.19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adsorvida difteria e tétano adulto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4.20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adsorvida difteria e tétano infantil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4.21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 xml:space="preserve">vacina adsorvida difteria, tétano e pertussis* 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4.22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adsorvida difteria, tétano e pertussis* (acelular)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4.23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adsorvida difteria, tétano, pertussis* (acelular) adulto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4.24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 xml:space="preserve">vacina adsorvida difteria, tétano, pertussis*  e </w:t>
            </w:r>
            <w:r w:rsidRPr="00D21993">
              <w:rPr>
                <w:i/>
                <w:iCs/>
                <w:strike/>
              </w:rPr>
              <w:t>Haemophilus influenzae b</w:t>
            </w:r>
            <w:r w:rsidRPr="00D21993">
              <w:rPr>
                <w:strike/>
              </w:rPr>
              <w:t xml:space="preserve"> (conjugada)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4.25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 xml:space="preserve">vacina adsorvida difteria, tétano, pertussis* (acelular), </w:t>
            </w:r>
            <w:r w:rsidRPr="00D21993">
              <w:rPr>
                <w:i/>
                <w:iCs/>
                <w:strike/>
              </w:rPr>
              <w:t>Haemophilus influenzae b</w:t>
            </w:r>
            <w:r w:rsidRPr="00D21993">
              <w:rPr>
                <w:strike/>
              </w:rPr>
              <w:t xml:space="preserve"> (conjugada) 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4.26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adsorvida difteria, tétano, pertussis* e hepatite B (recombinante)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4.27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 xml:space="preserve">vacina adsorvida difteria, tétano, pertussis*, hepatite B (recombinante) e  </w:t>
            </w:r>
            <w:r w:rsidRPr="00D21993">
              <w:rPr>
                <w:i/>
                <w:iCs/>
                <w:strike/>
              </w:rPr>
              <w:t>Haemophilus influenzae b</w:t>
            </w:r>
            <w:r w:rsidRPr="00D21993">
              <w:rPr>
                <w:strike/>
              </w:rPr>
              <w:t xml:space="preserve"> (conjugada)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4.28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 xml:space="preserve">vacina adsorvida difteria, tétano, pertussis* (acelular), hepatite B (recombinante) e  </w:t>
            </w:r>
            <w:r w:rsidRPr="00D21993">
              <w:rPr>
                <w:i/>
                <w:iCs/>
                <w:strike/>
              </w:rPr>
              <w:t>Haemophilus influenzae b</w:t>
            </w:r>
            <w:r w:rsidRPr="00D21993">
              <w:rPr>
                <w:strike/>
              </w:rPr>
              <w:t xml:space="preserve"> (conjugada)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4.29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adsorvida difteria, tétano, pertussis* (acelular) e poliomielite 1, 2, 3 (inativada)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4.30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 xml:space="preserve">vacina adsorvida difteria, tétano, pertussis* (acelular), poliomielite 1, 2, 3 (inativada) e </w:t>
            </w:r>
            <w:r w:rsidRPr="00D21993">
              <w:rPr>
                <w:i/>
                <w:iCs/>
                <w:strike/>
              </w:rPr>
              <w:t>Haemophilus influenzae b</w:t>
            </w:r>
            <w:r w:rsidRPr="00D21993">
              <w:rPr>
                <w:strike/>
              </w:rPr>
              <w:t xml:space="preserve"> (conjugada)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4.31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 xml:space="preserve">vacina adsorvida difteria, tétano, pertussis* (acelular), hepatite B (recombinante), poliomielite 1, 2, 3 (inativada) e </w:t>
            </w:r>
            <w:r w:rsidRPr="00D21993">
              <w:rPr>
                <w:i/>
                <w:iCs/>
                <w:strike/>
              </w:rPr>
              <w:t>Haemophilus influenzae b</w:t>
            </w:r>
            <w:r w:rsidRPr="00D21993">
              <w:rPr>
                <w:strike/>
              </w:rPr>
              <w:t xml:space="preserve"> (conjugada)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4.32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febre amarela (atenuada)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  <w:lang w:val="es-ES_tradnl"/>
              </w:rPr>
            </w:pPr>
            <w:r w:rsidRPr="00D21993">
              <w:rPr>
                <w:strike/>
                <w:lang w:val="es-ES_tradnl"/>
              </w:rPr>
              <w:t>4.33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  <w:lang w:val="es-ES_tradnl"/>
              </w:rPr>
            </w:pPr>
            <w:r w:rsidRPr="00D21993">
              <w:rPr>
                <w:strike/>
                <w:lang w:val="es-ES_tradnl"/>
              </w:rPr>
              <w:t xml:space="preserve">vacina </w:t>
            </w:r>
            <w:r w:rsidRPr="00D21993">
              <w:rPr>
                <w:i/>
                <w:iCs/>
                <w:strike/>
                <w:lang w:val="es-ES_tradnl"/>
              </w:rPr>
              <w:t>Haemophilus influenza b</w:t>
            </w:r>
            <w:r w:rsidRPr="00D21993">
              <w:rPr>
                <w:strike/>
                <w:lang w:val="es-ES_tradnl"/>
              </w:rPr>
              <w:t xml:space="preserve"> (conjugada)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4.34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 xml:space="preserve">vacina adsorvida hepatite A (inativada) 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4.35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adsorvida hepatite A (virossomal)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4.36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adsorvida hepatite A e hepatite B (recombinante)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4.37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hepatite B (recombinante)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4.38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influenza (fracionada, inativada)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4.39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influenza (inativada, subunitária)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4.40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influenza (inativada, virossomal)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4.41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influenza (atenuada)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4.42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meningocócica AC (polissacarídica)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4.43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meningocócica C (conjugada)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4.44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meningocócica BC (polissacarídica)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4.45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meningocócica ACWY (conjugada)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4.46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papilomavírus humano 6, 11, 16 e 18 (recombinante)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4.47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papilomavírus humano 16 e 18 (recombinante)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4.48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pneumocócica 23-valente (polissacarídica)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4.49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pneumocócica 7-valente (conjugada)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4.50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poliomielite 1, 2 e 3 (inativada)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4.51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poliomielite 1, 2 e 3  (atenuada)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4.52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raiva (inativada)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4.53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rotavírus humano G1P1[8] (atenuada)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4.54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rotavírus humano/bovino G1, G2, G3, G4 e P1[8] (atenuada)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4.55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 xml:space="preserve">vacina rubéola (atenuada)  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4.56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sarampo (atenuada)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4.57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sarampo, rubéola*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4.58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sarampo, caxumba, rubéola*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4.59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 xml:space="preserve">vacina sarampo, caxumba, rubéola e varicela (atenuada) 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4.60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tétano (inativada)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4.61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febre tifóide (polissacarídica)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4.62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febre tifóide (atenuada)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  <w:lang w:val="es-ES_tradnl"/>
              </w:rPr>
            </w:pPr>
            <w:r w:rsidRPr="00D21993">
              <w:rPr>
                <w:strike/>
                <w:lang w:val="es-ES_tradnl"/>
              </w:rPr>
              <w:t>4.63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  <w:lang w:val="es-ES_tradnl"/>
              </w:rPr>
            </w:pPr>
            <w:r w:rsidRPr="00D21993">
              <w:rPr>
                <w:strike/>
                <w:lang w:val="es-ES_tradnl"/>
              </w:rPr>
              <w:t>vacina varicela (atenuada)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  <w:lang w:val="es-ES_tradnl"/>
              </w:rPr>
            </w:pPr>
            <w:r w:rsidRPr="00D21993">
              <w:rPr>
                <w:strike/>
                <w:lang w:val="es-ES_tradnl"/>
              </w:rPr>
              <w:t>4.64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  <w:lang w:val="es-ES_tradnl"/>
              </w:rPr>
            </w:pPr>
            <w:r w:rsidRPr="00D21993">
              <w:rPr>
                <w:strike/>
                <w:lang w:val="es-ES_tradnl"/>
              </w:rPr>
              <w:t>vacina varíola (atenuada)</w:t>
            </w:r>
          </w:p>
        </w:tc>
      </w:tr>
      <w:tr w:rsidR="003C71FA" w:rsidRPr="00D21993" w:rsidTr="003C71FA">
        <w:trPr>
          <w:divId w:val="1575121004"/>
          <w:trHeight w:val="20"/>
        </w:trPr>
        <w:tc>
          <w:tcPr>
            <w:tcW w:w="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4.65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1FA" w:rsidRPr="00D21993" w:rsidRDefault="003C71FA" w:rsidP="003C71FA">
            <w:pPr>
              <w:jc w:val="both"/>
              <w:rPr>
                <w:strike/>
              </w:rPr>
            </w:pPr>
            <w:r w:rsidRPr="00D21993">
              <w:rPr>
                <w:strike/>
              </w:rPr>
              <w:t>vacina herpes zoster (atenuada)</w:t>
            </w:r>
          </w:p>
        </w:tc>
      </w:tr>
    </w:tbl>
    <w:p w:rsidR="003C71FA" w:rsidRPr="00196BFF" w:rsidRDefault="003C71FA" w:rsidP="003C71FA">
      <w:pPr>
        <w:jc w:val="both"/>
        <w:divId w:val="1575121004"/>
        <w:rPr>
          <w:strike/>
        </w:rPr>
      </w:pPr>
      <w:r w:rsidRPr="00196BFF">
        <w:rPr>
          <w:strike/>
        </w:rPr>
        <w:t>*Vacinas com nomenclatura consagrada pelo uso.</w:t>
      </w:r>
    </w:p>
    <w:sectPr w:rsidR="003C71FA" w:rsidRPr="00196BFF" w:rsidSect="00196BFF">
      <w:headerReference w:type="default" r:id="rId6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BF6" w:rsidRDefault="00156BF6" w:rsidP="00196BFF">
      <w:pPr>
        <w:spacing w:before="0" w:after="0"/>
      </w:pPr>
      <w:r>
        <w:separator/>
      </w:r>
    </w:p>
  </w:endnote>
  <w:endnote w:type="continuationSeparator" w:id="0">
    <w:p w:rsidR="00156BF6" w:rsidRDefault="00156BF6" w:rsidP="00196B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BF6" w:rsidRDefault="00156BF6" w:rsidP="00196BFF">
      <w:pPr>
        <w:spacing w:before="0" w:after="0"/>
      </w:pPr>
      <w:r>
        <w:separator/>
      </w:r>
    </w:p>
  </w:footnote>
  <w:footnote w:type="continuationSeparator" w:id="0">
    <w:p w:rsidR="00156BF6" w:rsidRDefault="00156BF6" w:rsidP="00196B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BFF" w:rsidRDefault="00D21993" w:rsidP="00196BFF">
    <w:pPr>
      <w:pStyle w:val="Cabealho"/>
      <w:spacing w:beforeAutospacing="0" w:afterAutospacing="0"/>
      <w:jc w:val="center"/>
    </w:pPr>
    <w:r w:rsidRPr="005E745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5" type="#_x0000_t75" alt="Brasão da República" style="width:51.75pt;height:51pt;visibility:visible">
          <v:imagedata r:id="rId1" o:title="Brasão da República"/>
        </v:shape>
      </w:pict>
    </w:r>
  </w:p>
  <w:p w:rsidR="00196BFF" w:rsidRPr="007C54E1" w:rsidRDefault="00196BFF" w:rsidP="00196BFF">
    <w:pPr>
      <w:pStyle w:val="Cabealho"/>
      <w:spacing w:beforeAutospacing="0" w:afterAutospacing="0"/>
      <w:jc w:val="center"/>
      <w:rPr>
        <w:b/>
      </w:rPr>
    </w:pPr>
    <w:r w:rsidRPr="007C54E1">
      <w:rPr>
        <w:b/>
      </w:rPr>
      <w:t>Ministério da Saúde - MS</w:t>
    </w:r>
  </w:p>
  <w:p w:rsidR="00196BFF" w:rsidRDefault="00196BFF" w:rsidP="00196BFF">
    <w:pPr>
      <w:pStyle w:val="Cabealho"/>
      <w:spacing w:beforeAutospacing="0" w:afterAutospacing="0"/>
      <w:jc w:val="center"/>
      <w:rPr>
        <w:b/>
      </w:rPr>
    </w:pPr>
    <w:r w:rsidRPr="007C54E1">
      <w:rPr>
        <w:b/>
      </w:rPr>
      <w:t xml:space="preserve">Agência Nacional de Vigilância Sanitária </w:t>
    </w:r>
    <w:r w:rsidR="00D21993">
      <w:rPr>
        <w:b/>
      </w:rPr>
      <w:t>–</w:t>
    </w:r>
    <w:r w:rsidRPr="007C54E1">
      <w:rPr>
        <w:b/>
      </w:rPr>
      <w:t xml:space="preserve"> ANVISA</w:t>
    </w:r>
  </w:p>
  <w:p w:rsidR="00D21993" w:rsidRPr="007C54E1" w:rsidRDefault="00D21993" w:rsidP="00196BFF">
    <w:pPr>
      <w:pStyle w:val="Cabealho"/>
      <w:spacing w:beforeAutospacing="0" w:afterAutospacing="0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74AC0"/>
    <w:rsid w:val="000834AC"/>
    <w:rsid w:val="000C2183"/>
    <w:rsid w:val="000F7751"/>
    <w:rsid w:val="00156BF6"/>
    <w:rsid w:val="00196BFF"/>
    <w:rsid w:val="002A6BAF"/>
    <w:rsid w:val="00320167"/>
    <w:rsid w:val="003C71FA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B82A1C"/>
    <w:rsid w:val="00C95A0B"/>
    <w:rsid w:val="00D21993"/>
    <w:rsid w:val="00DF7C19"/>
    <w:rsid w:val="00E30878"/>
    <w:rsid w:val="00E803CA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8B44A338-34FD-48B2-A830-43A528AF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C71FA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sid w:val="003C71FA"/>
    <w:rPr>
      <w:rFonts w:eastAsia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196BF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link w:val="Cabealho"/>
    <w:uiPriority w:val="99"/>
    <w:rsid w:val="00196BFF"/>
    <w:rPr>
      <w:rFonts w:eastAsia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196BF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196BFF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12100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00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007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5751210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00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2304</Words>
  <Characters>12443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14718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