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FF640F" w:rsidRDefault="001D5778" w:rsidP="00FF640F">
      <w:pPr>
        <w:ind w:right="-568"/>
        <w:jc w:val="center"/>
        <w:rPr>
          <w:rFonts w:ascii="Times New Roman" w:hAnsi="Times New Roman" w:cs="Times New Roman"/>
          <w:b/>
        </w:rPr>
      </w:pPr>
      <w:r w:rsidRPr="00FF640F">
        <w:rPr>
          <w:rFonts w:ascii="Times New Roman" w:hAnsi="Times New Roman" w:cs="Times New Roman"/>
          <w:b/>
        </w:rPr>
        <w:t>RESOLUÇÃO</w:t>
      </w:r>
      <w:r w:rsidR="00FF640F" w:rsidRPr="00FF640F">
        <w:rPr>
          <w:rFonts w:ascii="Times New Roman" w:hAnsi="Times New Roman" w:cs="Times New Roman"/>
          <w:b/>
        </w:rPr>
        <w:t xml:space="preserve"> DE DIRETORIA COLEGIADA</w:t>
      </w:r>
      <w:r w:rsidRPr="00FF640F">
        <w:rPr>
          <w:rFonts w:ascii="Times New Roman" w:hAnsi="Times New Roman" w:cs="Times New Roman"/>
          <w:b/>
        </w:rPr>
        <w:t xml:space="preserve"> – RDC Nº 61</w:t>
      </w:r>
      <w:r w:rsidR="00C16604" w:rsidRPr="00FF640F">
        <w:rPr>
          <w:rFonts w:ascii="Times New Roman" w:hAnsi="Times New Roman" w:cs="Times New Roman"/>
          <w:b/>
        </w:rPr>
        <w:t>,</w:t>
      </w:r>
      <w:r w:rsidRPr="00FF640F">
        <w:rPr>
          <w:rFonts w:ascii="Times New Roman" w:hAnsi="Times New Roman" w:cs="Times New Roman"/>
          <w:b/>
        </w:rPr>
        <w:t xml:space="preserve"> DE 18 DE NOVEMBRO DE 2011</w:t>
      </w:r>
    </w:p>
    <w:p w:rsidR="001D5778" w:rsidRPr="00073FD7" w:rsidRDefault="001D5778" w:rsidP="001D577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73FD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222, de 21 de novembro de 2011)</w:t>
      </w:r>
    </w:p>
    <w:p w:rsidR="009C5C31" w:rsidRPr="00073FD7" w:rsidRDefault="009C5C31" w:rsidP="009C5C3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66F8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36, de 26 de agosto de 2015)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A30DDC" w:rsidRPr="00073FD7" w:rsidTr="00A30DDC">
        <w:tc>
          <w:tcPr>
            <w:tcW w:w="4322" w:type="dxa"/>
          </w:tcPr>
          <w:p w:rsidR="00A30DDC" w:rsidRPr="00073FD7" w:rsidRDefault="00A30DDC" w:rsidP="001D5778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</w:p>
        </w:tc>
        <w:tc>
          <w:tcPr>
            <w:tcW w:w="4322" w:type="dxa"/>
          </w:tcPr>
          <w:p w:rsidR="00A30DDC" w:rsidRPr="00073FD7" w:rsidRDefault="00A30DDC" w:rsidP="00A30DD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73FD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Dispõe sobre as regras de classificação dos produtos para diagnóstico de uso in vitro e dá outras providências. </w:t>
            </w:r>
          </w:p>
        </w:tc>
      </w:tr>
    </w:tbl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073FD7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073FD7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novembro de 2011_, adota a seguinte Resolução de Diretoria Colegiada e eu, Diretor-Presidente, determino a sua publicação: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CAPÍTULO I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DAS DISPOSIÇÕES INICIAIS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1º Esta resolução estabelece os requisitos para classificação dos produtos para diagnóstico de uso in vitro.  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CAPÍTULO II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DAS CLASSES DE RISCO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2º O item </w:t>
      </w:r>
      <w:proofErr w:type="gramStart"/>
      <w:r w:rsidRPr="00073FD7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do anexo da RDC nº 206, de 17 de novembro de 2006, que estabelece o regulamento técnico de produtos para diagnóstico de uso in vitro, passa a vigorar com a seguinte redação:  </w:t>
      </w:r>
    </w:p>
    <w:p w:rsidR="00AB6158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“2. Classificação de produtos para diagnóstico de uso in vitro </w:t>
      </w:r>
      <w:proofErr w:type="gramStart"/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End"/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2.1. Para fins de registro e cadastramento na ANVISA, os produtos para diagnóstico de uso in vitro ficam enquadrados nas seguintes classes de risco: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2.1.1. Classe I – produtos de baixo risco ao indivíduo e baixo risco à saúde pública, sujeitos a cadastramento;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2.1.2. Classe II – produtos de médio risco ao indivíduo e/ou baixo risco à saúde pública, sujeitos a registro; 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2.1.3. Classe III – produtos de alto risco ao indivíduo e/ou médio risco à saúde pública, sujeitos a registro; e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2.1.4. Classe IV – produtos de alto risco ao indivíduo e alto risco à saúde pública, sujeitos a registro.”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3º Para enquadramento dos produtos para diagnóstico de uso in vitro em uma das classes citadas no item 2 do anexo da RDC nº 206, de 2006, devem ser aplicadas as regras de classificação descritas nesta Resolução. 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4º A classificação dos produtos para diagnóstico de uso in vitro é baseada nos seguintes critérios: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 – indicação de uso especificada pelo fabricante;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 – conhecimento técnico, científico ou médico do usuário;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III – importância da informação fornecida ao diagnóstico;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IV – relevância e impacto do resultado para o indivíduo e para a saúde pública; </w:t>
      </w:r>
      <w:proofErr w:type="gramStart"/>
      <w:r w:rsidRPr="00073FD7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V – relevância epidemiológica. 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CAPÍTULO III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DAS REGRAS DE CLASSIFICAÇÃO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5º Regra 1 – São classificados como Classe IV os produtos com as seguintes finalidades: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 – detectar a presença de ou a exposição a um agente transmissível pelo sangue, seus componentes e derivados, células, tecidos ou órgãos, a fim de avaliar a sua aptidão para transfusão ou transplante;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 – monitorar ou detectar a presença de ou a exposição a um agente transmissível que cause risco de vida ou doença, geralmente incurável, com elevado risco de propagação; e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III – monitorar carga viral de pacientes que sofrem de uma doença infecciosa geralmente incurável.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6º Regra 2 – Os produtos destinados a tipagem de sangue ou de tecidos para garantir a compatibilidade imunológica do sangue, componentes sanguíneos, células, tecidos ou órgãos que se destinam à transfusão ou transplante, são classificados como Classe III. 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Os produtos para determinações do sistema ABO, do sistema rhesus, do sistema Kell, do sistema Kidd e do sistema Duffy, são classificados como Classe IV.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7º Regra 3 – Os produtos destinados ao diagnóstico de doença de notificação compulsória prevista na Portaria nº 5, de 21 de fevereiro de 2006, do Ministério da Saúde, ou legislação que venha a substituí-la, são classificados como Classe III.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8º Regra 4 – Os produtos são classificados como Classe III se forem destinados a: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 – detectar a presença de ou a exposição a um agente sexualmente transmissível;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>II – detectar a presença em líquido cefalorraquidiano ou sangue de um agente infeccioso com um risco de propagação limitado;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>III – detectar a presença de um agente infeccioso, onde existe risco significativo de que um resultado errôneo possa causar morte ou grave incapacidade para o indivíduo ou feto;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>IV – triagem pré-natal de mulheres a fim de determinar o seu estado imunológico contra agentes transmissíveis;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>V – determinação do status de doença infecciosa ou estado imunológico, e de onde há risco de que um resultado errôneo leve a uma decisão de manejo do paciente, resultando em uma situação de iminente risco à vida do paciente;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>VI – triagem, estadiamento ou diagnóstico de câncer;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>VII – teste genético humano;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VIII – rastreamento de desordens congênitas no feto;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IX – controlar os níveis de fármacos, substâncias ou componentes biológicos, quando há risco de que um resultado errôneo leve a uma decisão de manejo do paciente, resultando em uma situação imediata de risco de vida para o paciente; e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X – determinações de gases e glicose no sangue para testes a beira do leito (point of care ou near-patient testing). </w:t>
      </w:r>
    </w:p>
    <w:p w:rsidR="00A30DDC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Parágrafo único. Outros produtos para diagnóstico de uso in vitro que são destinados a testes à beira do leito não enquadrados no inciso X devem ser classificados independentemente, utilizando-se as regras de classificação. </w:t>
      </w:r>
    </w:p>
    <w:p w:rsidR="00EE7F9B" w:rsidRPr="00073FD7" w:rsidRDefault="00EE7F9B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9º Regra 5 – Os produtos destinados a auto-teste são classificados como Classe III.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Parágrafo único. Os produtos destinados a auto-teste em que o resultado não é determinante de um estado clinicamente crítico, ou é preliminar e requer acompanhamento com o teste laboratorial adequado, pertencem à Classe II.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10. Regra 6 – São classificados como Classe I: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 – reagentes ou outros artigos auxiliares aos procedimentos de diagnóstico in vitro;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 – produtos destinados </w:t>
      </w:r>
      <w:proofErr w:type="gramStart"/>
      <w:r w:rsidRPr="00073FD7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calibração, limpeza ou manutenção de equipamentos em procedimentos de assistência técnica;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III – meios de cultura e dispositivos destinados à identificação de microorganismos;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IV – produtos para extração de DNA e RNA, auxiliares aos procedimentos de diagnóstico in vitro; e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V – recipientes de coleta, armazenamento e transporte de amostras biológicas para uso em testes diagnósticos laboratoriais.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11. Regra 7 – Os produtos para diagnóstico de uso in vitro não abrangidos nas regras 1 a 6 são classificados como Classe II.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12. Regra 8 – Os produtos utilizados como calibradores, padrões ou controles para um analito específico ou para analitos múltiplos com valores quantitativos ou qualitativos pré-definidos seguem a mesma classificação do reagente principal.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Parágrafo único. Os calibradores, padrões ou controles utilizados em equipamentos contadores de células, são sempre classificados como Classe II.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13. Regra 9 – Se a um mesmo produto se aplica mais de uma regra, com diferentes Classes de Risco atribuídas, a classificação deve ser a de maior risco. </w:t>
      </w:r>
    </w:p>
    <w:p w:rsidR="00A30DDC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Art. 14. As regras de classificação poderão ser atualizadas de acordo com os procedimentos administrativos adotados pela ANVISA, tendo em vista o progresso tecnológico e as informações de pós-comercialização, oriundas do uso ou da aplicação dos produtos para diagnóstico de uso in vitro. </w:t>
      </w:r>
    </w:p>
    <w:p w:rsidR="00670B25" w:rsidRDefault="00670B25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70B25" w:rsidRDefault="00670B25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0DDC" w:rsidRPr="00E04F6C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4F6C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CAPÍTULO IV</w:t>
      </w:r>
    </w:p>
    <w:p w:rsidR="00A30DDC" w:rsidRPr="00073FD7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4F6C">
        <w:rPr>
          <w:rFonts w:ascii="Times New Roman" w:hAnsi="Times New Roman" w:cs="Times New Roman"/>
          <w:b/>
          <w:strike/>
          <w:sz w:val="24"/>
          <w:szCs w:val="24"/>
        </w:rPr>
        <w:t>DAS DISPOSIÇÕES FINAIS E TRANSITÓRIAS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Art. 15.</w:t>
      </w: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O inciso II do artigo 3º da RDC nº 25, de 21 de maio de 2009, que dispõe sobre a implementação da exigência do Certificado de Boas Práticas de Fabricação para o registro de produtos para saúde da Agência Nacional de Vigilância Sanitária – ANVISA, passa a vigorar com a seguinte redação: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“Art. 3º ..............................................................................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II – Os produtos para diagnóstico de uso in vitro enquadrados nas Classes II, III e IV.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..............................................................................”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Art. 16.</w:t>
      </w: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Os itens 4.2, 5.2, 5.5 do anexo da RDC nº 206, de 17 de novembro de 2006, passam a vigorar com a seguinte redação: 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“4. ......................................................................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4.2. Relatório técnico – Classe III e IV”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“5. ......................................................................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5.2. Registro – Classe II, III e IV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Para protocolar a petição de registro de Produtos para Diagnóstico de uso in vitro – classe II, III e IV, o solicitante deverá apresentar os seguintes documentos: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5.5. Revalidação de Registro – Classe II, III e IV”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Art. 17.</w:t>
      </w: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O anexo da RDC 206, de 17 de novembro de 2006, passa a vigorar acrescido dos seguintes dispositivos: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“5. .............................................................................. </w:t>
      </w:r>
    </w:p>
    <w:p w:rsidR="00A30DDC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 </w:t>
      </w:r>
    </w:p>
    <w:p w:rsidR="00E04F6C" w:rsidRPr="00073FD7" w:rsidRDefault="00E04F6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5.2.6. No caso de produtos destinados a auto-teste, anexar: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5.2.6.1. Modelo de rótulos, de acordo com o item 3.1.2 e item 3.1.3; e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5.2.6.2. Modelo de instruções de uso, de acordo com o item 3.3.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5.2.7. Os produtos enquadrados na Classe de Risco IV estão sujeitos à realização de análise prévia.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5.5.7. No caso de produtos destinados a auto-teste, anexar: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5.5.7.1. Modelo de rótulos, de acordo com o item 3.1.2 e item 3.1.3; e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5.5.7.2. Modelo de instruções de Uso, de acordo com o item 3.3.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5.5.8. Os produtos enquadrados na Classe de Risco IV estão sujeitos à realização de análise prévia.”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Art. 18.</w:t>
      </w: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Ficam revogados os itens 5.3 e 5.6 do Anexo da RDC nº 206, de 17 de novembro de 2006. </w:t>
      </w:r>
    </w:p>
    <w:p w:rsidR="00A30DDC" w:rsidRPr="00073FD7" w:rsidRDefault="00A30DDC" w:rsidP="00A3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D7">
        <w:rPr>
          <w:rFonts w:ascii="Times New Roman" w:hAnsi="Times New Roman" w:cs="Times New Roman"/>
          <w:b/>
          <w:strike/>
          <w:sz w:val="24"/>
          <w:szCs w:val="24"/>
        </w:rPr>
        <w:t>Art. 19.</w:t>
      </w:r>
      <w:r w:rsidRPr="00073FD7">
        <w:rPr>
          <w:rFonts w:ascii="Times New Roman" w:hAnsi="Times New Roman" w:cs="Times New Roman"/>
          <w:strike/>
          <w:sz w:val="24"/>
          <w:szCs w:val="24"/>
        </w:rPr>
        <w:t xml:space="preserve"> Esta Resolução entra em vigor 180 (cento e oitenta) dias a partir da data de sua publicação.  </w:t>
      </w:r>
    </w:p>
    <w:p w:rsidR="00A30DDC" w:rsidRPr="00E3552F" w:rsidRDefault="00A30DDC" w:rsidP="00A3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3552F">
        <w:rPr>
          <w:rFonts w:ascii="Times New Roman" w:hAnsi="Times New Roman" w:cs="Times New Roman"/>
          <w:b/>
          <w:strike/>
          <w:sz w:val="24"/>
          <w:szCs w:val="24"/>
        </w:rPr>
        <w:t>DIRCEU BRÁS APARECIDO BARBANO</w:t>
      </w:r>
      <w:bookmarkEnd w:id="0"/>
    </w:p>
    <w:sectPr w:rsidR="00A30DDC" w:rsidRPr="00E3552F" w:rsidSect="000137C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8E5" w:rsidRDefault="00AE18E5" w:rsidP="00073FD7">
      <w:pPr>
        <w:spacing w:after="0" w:line="240" w:lineRule="auto"/>
      </w:pPr>
      <w:r>
        <w:separator/>
      </w:r>
    </w:p>
  </w:endnote>
  <w:endnote w:type="continuationSeparator" w:id="0">
    <w:p w:rsidR="00AE18E5" w:rsidRDefault="00AE18E5" w:rsidP="0007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8E5" w:rsidRDefault="00AE18E5" w:rsidP="00073FD7">
    <w:pPr>
      <w:pStyle w:val="Rodap"/>
      <w:jc w:val="center"/>
    </w:pPr>
    <w:r>
      <w:rPr>
        <w:color w:val="943634" w:themeColor="accent2" w:themeShade="BF"/>
      </w:rPr>
      <w:t>Este texto não substitui o(s) publicado(s) em Diário Oficial da União.</w:t>
    </w:r>
  </w:p>
  <w:p w:rsidR="00AE18E5" w:rsidRDefault="00AE18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8E5" w:rsidRDefault="00AE18E5" w:rsidP="00073FD7">
      <w:pPr>
        <w:spacing w:after="0" w:line="240" w:lineRule="auto"/>
      </w:pPr>
      <w:r>
        <w:separator/>
      </w:r>
    </w:p>
  </w:footnote>
  <w:footnote w:type="continuationSeparator" w:id="0">
    <w:p w:rsidR="00AE18E5" w:rsidRDefault="00AE18E5" w:rsidP="0007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8E5" w:rsidRDefault="00AE18E5" w:rsidP="00073FD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225"/>
          <wp:effectExtent l="0" t="0" r="0" b="9525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18E5" w:rsidRDefault="00AE18E5" w:rsidP="00073FD7">
    <w:pPr>
      <w:pStyle w:val="Cabealho"/>
      <w:jc w:val="center"/>
      <w:rPr>
        <w:b/>
        <w:sz w:val="24"/>
      </w:rPr>
    </w:pPr>
    <w:r>
      <w:rPr>
        <w:b/>
        <w:sz w:val="24"/>
      </w:rPr>
      <w:t>Ministério da Saúde - MS</w:t>
    </w:r>
  </w:p>
  <w:p w:rsidR="00AE18E5" w:rsidRDefault="00AE18E5" w:rsidP="00073FD7">
    <w:pPr>
      <w:pStyle w:val="Cabealho"/>
      <w:jc w:val="center"/>
      <w:rPr>
        <w:b/>
        <w:sz w:val="24"/>
      </w:rPr>
    </w:pPr>
    <w:r>
      <w:rPr>
        <w:b/>
        <w:sz w:val="24"/>
      </w:rPr>
      <w:t>Agência Nacional de Vigilância Sanitária - ANVISA</w:t>
    </w:r>
  </w:p>
  <w:p w:rsidR="00AE18E5" w:rsidRDefault="00AE18E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D5778"/>
    <w:rsid w:val="000137CD"/>
    <w:rsid w:val="00066F8B"/>
    <w:rsid w:val="00073FD7"/>
    <w:rsid w:val="001D5778"/>
    <w:rsid w:val="001E708B"/>
    <w:rsid w:val="002038C0"/>
    <w:rsid w:val="0021169E"/>
    <w:rsid w:val="004B7C09"/>
    <w:rsid w:val="00502C1E"/>
    <w:rsid w:val="006068EB"/>
    <w:rsid w:val="006701AC"/>
    <w:rsid w:val="00670B25"/>
    <w:rsid w:val="007441BF"/>
    <w:rsid w:val="00786686"/>
    <w:rsid w:val="008E7486"/>
    <w:rsid w:val="009C5C31"/>
    <w:rsid w:val="00A30DDC"/>
    <w:rsid w:val="00AB6158"/>
    <w:rsid w:val="00AE18E5"/>
    <w:rsid w:val="00B30817"/>
    <w:rsid w:val="00B7710F"/>
    <w:rsid w:val="00C16604"/>
    <w:rsid w:val="00C524CD"/>
    <w:rsid w:val="00CA0249"/>
    <w:rsid w:val="00D621E1"/>
    <w:rsid w:val="00DD4E87"/>
    <w:rsid w:val="00E04F6C"/>
    <w:rsid w:val="00E3552F"/>
    <w:rsid w:val="00E50A09"/>
    <w:rsid w:val="00E51E0D"/>
    <w:rsid w:val="00EE7F9B"/>
    <w:rsid w:val="00FF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0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73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FD7"/>
  </w:style>
  <w:style w:type="paragraph" w:styleId="Rodap">
    <w:name w:val="footer"/>
    <w:basedOn w:val="Normal"/>
    <w:link w:val="RodapChar"/>
    <w:uiPriority w:val="99"/>
    <w:unhideWhenUsed/>
    <w:rsid w:val="00073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FD7"/>
  </w:style>
  <w:style w:type="paragraph" w:styleId="Textodebalo">
    <w:name w:val="Balloon Text"/>
    <w:basedOn w:val="Normal"/>
    <w:link w:val="TextodebaloChar"/>
    <w:uiPriority w:val="99"/>
    <w:semiHidden/>
    <w:unhideWhenUsed/>
    <w:rsid w:val="0007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5C979-00C7-4036-B587-89199A9EC5F2}"/>
</file>

<file path=customXml/itemProps2.xml><?xml version="1.0" encoding="utf-8"?>
<ds:datastoreItem xmlns:ds="http://schemas.openxmlformats.org/officeDocument/2006/customXml" ds:itemID="{2A3317ED-1066-4C64-9F23-A88CEA976408}"/>
</file>

<file path=customXml/itemProps3.xml><?xml version="1.0" encoding="utf-8"?>
<ds:datastoreItem xmlns:ds="http://schemas.openxmlformats.org/officeDocument/2006/customXml" ds:itemID="{4D1489CE-554D-4DB6-90F6-4A4C818B7C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1519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22</cp:revision>
  <dcterms:created xsi:type="dcterms:W3CDTF">2016-02-16T19:04:00Z</dcterms:created>
  <dcterms:modified xsi:type="dcterms:W3CDTF">2016-09-20T17:26:00Z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