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964192076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964192076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C1656F">
      <w:pPr>
        <w:spacing w:before="0" w:beforeAutospacing="0" w:after="0" w:afterAutospacing="0"/>
        <w:jc w:val="center"/>
        <w:divId w:val="1964192077"/>
        <w:rPr>
          <w:rFonts w:eastAsia="Times New Roman"/>
        </w:rPr>
      </w:pPr>
      <w:r w:rsidRPr="00C1656F">
        <w:rPr>
          <w:rFonts w:eastAsia="Times New Roman"/>
          <w:noProof/>
        </w:rPr>
        <w:drawing>
          <wp:inline distT="0" distB="0" distL="0" distR="0">
            <wp:extent cx="533400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60" w:rsidRDefault="00A53197" w:rsidP="00391360">
      <w:pPr>
        <w:pStyle w:val="Default"/>
        <w:ind w:firstLine="567"/>
        <w:jc w:val="center"/>
        <w:divId w:val="1964192073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DF3881" w:rsidRPr="008E46EA" w:rsidRDefault="00DF3881" w:rsidP="00DF3881">
      <w:pPr>
        <w:pStyle w:val="Ttulo1"/>
        <w:divId w:val="1964192073"/>
      </w:pPr>
      <w:r w:rsidRPr="008E46EA">
        <w:t>RESOLUÇÃO DA DIRETORIA COLEGIADA - RDC Nº 70, DE 22 DE DEZEMBRO DE 2014</w:t>
      </w:r>
    </w:p>
    <w:p w:rsidR="00DF3881" w:rsidRPr="008E46EA" w:rsidRDefault="00DF3881" w:rsidP="00DF3881">
      <w:pPr>
        <w:spacing w:before="115" w:after="173" w:line="324" w:lineRule="auto"/>
        <w:ind w:left="5103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 xml:space="preserve">Dispõe sobre a suspensão do prazo para adequação do registro de radiofármacos estabelecido no Art. 2º da Resolução de Diretoria Colegiada – RDC nº 66, de 09 de dezembro de 2011 e dá outras providências. 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>A Diretoria Colegiada da Agência Nacional de Vigilância Sanitária,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por meio do Circuito Deliberativo 528/2014 em 19 de dezembro de 2014, adota a seguinte Resolução da Diretoria Colegiada e eu, Diretor-Presidente Substituto, determino a sua publicação.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 xml:space="preserve">Art. 1° Fica suspenso o prazo para adequação estabelecido no Artigo 2º da Resolução de Diretoria Colegiada - RDC nº 66, de 09 de dezembro de 2011. 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 xml:space="preserve">§ 1° A suspensão do prazo de adequação estabelecido no caput deste Artigo aplica-se exclusivamente aos Radiofármacos cuja comercialização tenha sido iniciada dentro do prazo para adequação preconizado na Resolução de Diretoria Colegiada - RDC nº 66/2011.  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>Art. 2º As empresas, radiofarmácias, clínicas e institutos produtores de radiofármacos, enquadrados na hipótese do § 1° do Art. 1º, deverão protocolar pedido de Registro junto à Anvisa no prazo máximo de 180 (cento e oitenta) dias, a partir da data de publicação desta Resolução.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 xml:space="preserve">Art. 3° O dossiê de registro deverá ser instruído com toda a documentação preconizada pela Resolução de Diretoria Colegiada - RDC nº 64, de 18 de dezembro de 2009. 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lastRenderedPageBreak/>
        <w:t xml:space="preserve">§ 1° Para efeitos de adequação, em cumprimento ao item IX do Art. 22 da RDC nº 64/2009, as empresas deverão apresentar certificado de Boas Práticas de Fabricação (BPF) emitido pela Anvisa, para a linha de produção na qual o radiofármaco será fabricado, ou, na sua ausência, cópia do protocolo de solicitação de inspeção para emissão do certificado de BPF. 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>§ 2° Para efeitos de adequação, em cumprimento ao Art. 24 da Seção III da Resolução de Diretoria Colegiada - RDC nº 64/2009, para os Medicamentos Radiofármacos, as empresas poderão apresentar dados da literatura com estudos clínicos publicados em revistas indexadas, realizados com o radiofármaco em questão, onde foram estudadas as atividades e indicações terapêuticas ou diagnósticas pretendidas no registro.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 xml:space="preserve">§ 3º Adicionalmente, para a comprovação da atividade de comercialização a empresa deverá apresentar, junto ao dossiê de registro, comprovantes de comercialização do produto e o mapa de distribuição dos últimos cinco anos ou de menor período, quando aplicável. 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 xml:space="preserve">Art. 4° Os radiofármacos cuja comercialização não tenha sido iniciada antes da data de publicação desta Resolução somente poderão ser comercializados e distribuídos no país após a concessão do seu registro em Diário Oficial da União. 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 xml:space="preserve">Art. 5° As alterações pós-registro serão avaliadas de acordo com o preconizado na Resolução de Diretoria Colegiada-RDC nº 48, de 06 de outubro de 2009 e suas posteriores atualizações. 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 xml:space="preserve">Art. 6º O descumprimento das disposições contidas nesta Resolução constitui infração sanitária, nos termos da Lei nº 6.437, de 20 de agosto de 1977, sem prejuízo das responsabilidades civil, administrativa e penal cabíveis. </w:t>
      </w:r>
    </w:p>
    <w:p w:rsidR="00DF3881" w:rsidRPr="008E46EA" w:rsidRDefault="00DF3881" w:rsidP="00DF3881">
      <w:pPr>
        <w:spacing w:before="115" w:after="173" w:line="324" w:lineRule="auto"/>
        <w:ind w:firstLine="567"/>
        <w:divId w:val="1964192073"/>
        <w:rPr>
          <w:rFonts w:ascii="Arial" w:hAnsi="Arial" w:cs="Arial"/>
          <w:color w:val="333333"/>
          <w:sz w:val="20"/>
          <w:szCs w:val="20"/>
        </w:rPr>
      </w:pPr>
      <w:r w:rsidRPr="008E46EA">
        <w:rPr>
          <w:rFonts w:ascii="Arial" w:hAnsi="Arial" w:cs="Arial"/>
          <w:color w:val="333333"/>
          <w:sz w:val="20"/>
          <w:szCs w:val="20"/>
        </w:rPr>
        <w:t>Art. 7° Esta Resolução entra em vigor na data de sua publicação.</w:t>
      </w:r>
    </w:p>
    <w:p w:rsidR="00DF3881" w:rsidRPr="008E46EA" w:rsidRDefault="00DF3881" w:rsidP="00DF3881">
      <w:pPr>
        <w:pStyle w:val="Ttulo2"/>
        <w:divId w:val="1964192073"/>
      </w:pPr>
      <w:r w:rsidRPr="008E46EA">
        <w:t>IVO BUCARESKY</w:t>
      </w:r>
    </w:p>
    <w:p w:rsidR="00A53197" w:rsidRDefault="00A53197">
      <w:pPr>
        <w:spacing w:before="0" w:beforeAutospacing="0" w:after="0" w:afterAutospacing="0"/>
        <w:jc w:val="center"/>
        <w:divId w:val="1964192078"/>
        <w:rPr>
          <w:rFonts w:ascii="Verdana" w:hAnsi="Verdana"/>
          <w:b/>
          <w:bCs/>
          <w:color w:val="003366"/>
          <w:sz w:val="17"/>
          <w:szCs w:val="17"/>
        </w:rPr>
      </w:pPr>
      <w:hyperlink r:id="rId6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761FC"/>
    <w:rsid w:val="000C2183"/>
    <w:rsid w:val="000E4E89"/>
    <w:rsid w:val="00101181"/>
    <w:rsid w:val="001A1BCA"/>
    <w:rsid w:val="0026113A"/>
    <w:rsid w:val="00277E16"/>
    <w:rsid w:val="00391360"/>
    <w:rsid w:val="003C4A39"/>
    <w:rsid w:val="00536C97"/>
    <w:rsid w:val="00652E8A"/>
    <w:rsid w:val="00662C10"/>
    <w:rsid w:val="00771958"/>
    <w:rsid w:val="00867B72"/>
    <w:rsid w:val="008B7BC0"/>
    <w:rsid w:val="008D770F"/>
    <w:rsid w:val="008E46EA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A4BE8"/>
    <w:rsid w:val="00BC5F27"/>
    <w:rsid w:val="00BE676D"/>
    <w:rsid w:val="00C05434"/>
    <w:rsid w:val="00C1656F"/>
    <w:rsid w:val="00C95774"/>
    <w:rsid w:val="00C95A0B"/>
    <w:rsid w:val="00D01638"/>
    <w:rsid w:val="00D221EC"/>
    <w:rsid w:val="00D74B7B"/>
    <w:rsid w:val="00DF3881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9207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207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207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9641920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7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ude.gov.br/saudeleg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3338</Characters>
  <Application>Microsoft Office Word</Application>
  <DocSecurity>0</DocSecurity>
  <Lines>27</Lines>
  <Paragraphs>7</Paragraphs>
  <ScaleCrop>false</ScaleCrop>
  <Company>ANVISA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2014-07-01T19:01:00Z</cp:lastPrinted>
  <dcterms:created xsi:type="dcterms:W3CDTF">2018-08-16T18:52:00Z</dcterms:created>
  <dcterms:modified xsi:type="dcterms:W3CDTF">2018-08-16T18:52:00Z</dcterms:modified>
</cp:coreProperties>
</file>