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05F14" w:rsidRDefault="00B429B9" w:rsidP="00305F14">
      <w:pPr>
        <w:ind w:left="-284" w:right="-143"/>
        <w:jc w:val="center"/>
        <w:rPr>
          <w:rFonts w:ascii="Times New Roman" w:hAnsi="Times New Roman" w:cs="Times New Roman"/>
          <w:b/>
          <w:szCs w:val="24"/>
        </w:rPr>
      </w:pPr>
      <w:r w:rsidRPr="00305F14">
        <w:rPr>
          <w:rFonts w:ascii="Times New Roman" w:hAnsi="Times New Roman" w:cs="Times New Roman"/>
          <w:b/>
          <w:szCs w:val="24"/>
        </w:rPr>
        <w:t>RESOLUÇÃO</w:t>
      </w:r>
      <w:r w:rsidR="00305F14" w:rsidRPr="00305F14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305F14">
        <w:rPr>
          <w:rFonts w:ascii="Times New Roman" w:hAnsi="Times New Roman" w:cs="Times New Roman"/>
          <w:b/>
          <w:szCs w:val="24"/>
        </w:rPr>
        <w:t xml:space="preserve"> – RDC Nº 71, DE 06 DE OUTUBRO DE </w:t>
      </w:r>
      <w:proofErr w:type="gramStart"/>
      <w:r w:rsidRPr="00305F14">
        <w:rPr>
          <w:rFonts w:ascii="Times New Roman" w:hAnsi="Times New Roman" w:cs="Times New Roman"/>
          <w:b/>
          <w:szCs w:val="24"/>
        </w:rPr>
        <w:t>2008</w:t>
      </w:r>
      <w:proofErr w:type="gramEnd"/>
    </w:p>
    <w:p w:rsidR="00B429B9" w:rsidRPr="00305F14" w:rsidRDefault="00B429B9" w:rsidP="00B429B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5F1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195, de 08 de outubro de 2008</w:t>
      </w:r>
      <w:proofErr w:type="gramStart"/>
      <w:r w:rsidRPr="00305F1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A608B" w:rsidRPr="00305F14" w:rsidRDefault="000A608B" w:rsidP="00B429B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05F1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8, de 06 de março de 2013</w:t>
      </w:r>
      <w:proofErr w:type="gramStart"/>
      <w:r w:rsidRPr="00305F1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6F27DF" w:rsidRPr="00305F14" w:rsidTr="00305F14">
        <w:trPr>
          <w:tblCellSpacing w:w="0" w:type="dxa"/>
        </w:trPr>
        <w:tc>
          <w:tcPr>
            <w:tcW w:w="2500" w:type="pct"/>
            <w:vAlign w:val="center"/>
            <w:hideMark/>
          </w:tcPr>
          <w:p w:rsidR="006F27DF" w:rsidRPr="00305F14" w:rsidRDefault="006F27DF" w:rsidP="00305F1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6F27DF" w:rsidRPr="00305F14" w:rsidRDefault="006F27DF" w:rsidP="00305F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05F14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Aprovar a extensão de uso de aditivos alimentares para tratamento de superfície das seguintes frutas in natura: mamão, melão, manga, abacate, abacaxi e frutas cítricas.</w:t>
            </w:r>
          </w:p>
        </w:tc>
      </w:tr>
    </w:tbl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305F1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30 de setembro de 2008, </w:t>
      </w:r>
      <w:proofErr w:type="gramStart"/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</w:t>
      </w:r>
      <w:proofErr w:type="gramEnd"/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constante aperfeiçoamento das ações de controle sanitário na área de alimentos, visando à proteção da saúde da população;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segurança de uso dos aditivos na fabricação de alimentos;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o uso de aditivos deve ser limitado a alimentos específicos, em condições específicas e ao menor nível para alcançar o efeito desejado;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foram apresentadas justificativas tecnológicas para os usos propostos dos aditivos;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as estimativas de exposição aos aditivos nos usos propostos não ultrapassam os seus respectivos valores de Ingestão Diária Aceitável - IDA;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 utilização dos aditivos em questão, do ponto de vista da tecnologia industrial de fabricação, foi submetida à avaliação técnica e aprovação da autoridade competente do Ministério da Agricultura, Pecuária e Abastecimento, e seu uso está condicionado ao enquadramento nos parâmetros estabelecidos em legislação vigente; adota a seguinte Resolução da Diretoria Colegiada e eu, Diretor Presidente, determino a sua publicação: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1° Aprovar a extensão de uso de aditivos alimentares para tratamento de superfície das seguintes frutas in natura: mamão, melão, manga, abacate, abacaxi e frutas cítricas, de acordo com o Anexo desta Resolução.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Art. 2° O descumprimento desta Resolução constitui infração sanitária, sujeitando os infratores às penalidades da Lei n°. 6.437, de 20 de agosto de 1977, e demais disposições aplicáveis.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3° Revogam-se as disposições em contrário.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4° Esta Resolução da Diretoria Colegiada entra em vigor na data de sua publicação.</w:t>
      </w:r>
    </w:p>
    <w:p w:rsidR="006F27DF" w:rsidRPr="00305F14" w:rsidRDefault="006F27DF" w:rsidP="006F27D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6F27DF" w:rsidRPr="00305F14" w:rsidRDefault="006F27DF" w:rsidP="006F27D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6F27DF" w:rsidRPr="00305F14" w:rsidRDefault="006F27DF" w:rsidP="006F27D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 xml:space="preserve">EXTENSÃO DE USO DE ADITIVOS ALIMENTARES PARA TRATAMENTO DE SUPERFÍCIE DAS SEGUINTES FRUTAS IN NATURA: MAMÃO, MELÃO, MANGA, ABACATE, ABACAXI E FRUTAS </w:t>
      </w:r>
      <w:proofErr w:type="gramStart"/>
      <w:r w:rsidRPr="00305F1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CÍTRICAS</w:t>
      </w:r>
      <w:proofErr w:type="gramEnd"/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2775"/>
        <w:gridCol w:w="1770"/>
        <w:gridCol w:w="2532"/>
      </w:tblGrid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LIMITE MÁXIMO (g/100g)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445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Ésteres glicéricos de </w:t>
            </w: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colofônio</w:t>
            </w:r>
            <w:proofErr w:type="spell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goma éster, ésteres de glicerol com resina de madeira (*</w:t>
            </w: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Estabilizante</w:t>
            </w:r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0,008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470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Sais de ácidos graxos (com base Ca, Na, </w:t>
            </w: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Mg</w:t>
            </w:r>
            <w:proofErr w:type="gram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K e NH</w:t>
            </w:r>
            <w:r w:rsidRPr="00E920B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(*)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Emulsificante</w:t>
            </w:r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525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Hidróxido de potássio (*)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Regulador de acidez</w:t>
            </w:r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527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Hidróxido de amônio (*)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Regulador de acidez</w:t>
            </w:r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900a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Dimetilsilicone</w:t>
            </w:r>
            <w:proofErr w:type="spell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dimetilpolisiloxano</w:t>
            </w:r>
            <w:proofErr w:type="spell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polidimetilsiloxano</w:t>
            </w:r>
            <w:proofErr w:type="spell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(*</w:t>
            </w: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Antiespumante</w:t>
            </w:r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0,00001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901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Cera de abelha (branca e amarela)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Glaceante</w:t>
            </w:r>
            <w:proofErr w:type="spellEnd"/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902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Cera de </w:t>
            </w: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candelilla</w:t>
            </w:r>
            <w:proofErr w:type="spellEnd"/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Glaceante</w:t>
            </w:r>
            <w:proofErr w:type="spellEnd"/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Cera de carnaúba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Glaceante</w:t>
            </w:r>
            <w:proofErr w:type="spellEnd"/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904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Goma laca, </w:t>
            </w:r>
            <w:proofErr w:type="spellStart"/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shellac</w:t>
            </w:r>
            <w:proofErr w:type="spellEnd"/>
            <w:proofErr w:type="gramEnd"/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Glaceante</w:t>
            </w:r>
            <w:proofErr w:type="spellEnd"/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905ci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Cera microcristalina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Glaceante</w:t>
            </w:r>
            <w:proofErr w:type="spellEnd"/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0,005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1201</w:t>
            </w:r>
          </w:p>
          <w:p w:rsidR="00A80AEF" w:rsidRPr="00305F14" w:rsidRDefault="00A80AEF" w:rsidP="008B045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1202 </w:t>
            </w:r>
            <w:r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(Retificado </w:t>
            </w:r>
            <w:r w:rsidR="008B045A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em DOU nº 217, de </w:t>
            </w:r>
            <w:proofErr w:type="gramStart"/>
            <w:r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7</w:t>
            </w:r>
            <w:proofErr w:type="gramEnd"/>
            <w:r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de novembro de </w:t>
            </w:r>
            <w:r w:rsidR="008B045A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2008</w:t>
            </w:r>
            <w:r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Polivinilpirrolidona</w:t>
            </w:r>
            <w:proofErr w:type="spell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insolúvel (*)</w:t>
            </w:r>
          </w:p>
          <w:p w:rsidR="00A80AEF" w:rsidRPr="00305F14" w:rsidRDefault="00A80AE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hAnsi="Times New Roman" w:cs="Times New Roman"/>
                <w:strike/>
                <w:sz w:val="24"/>
                <w:szCs w:val="24"/>
              </w:rPr>
              <w:t>Polivinilpirrolidona</w:t>
            </w:r>
            <w:proofErr w:type="spellEnd"/>
            <w:r w:rsidRPr="00305F1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insolúvel (*)</w:t>
            </w:r>
            <w:r w:rsidR="008B045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8B045A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(Retificado </w:t>
            </w:r>
            <w:r w:rsidR="008B045A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em DOU nº 217, de </w:t>
            </w:r>
            <w:proofErr w:type="gramStart"/>
            <w:r w:rsidR="008B045A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7</w:t>
            </w:r>
            <w:proofErr w:type="gramEnd"/>
            <w:r w:rsidR="008B045A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de novembro de </w:t>
            </w:r>
            <w:r w:rsidR="008B045A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2008</w:t>
            </w:r>
            <w:r w:rsidR="008B045A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Estabilizante</w:t>
            </w:r>
          </w:p>
          <w:p w:rsidR="00A80AEF" w:rsidRPr="00305F14" w:rsidRDefault="00A80AE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Estabilizante </w:t>
            </w:r>
            <w:r w:rsidR="008B045A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(Retificado </w:t>
            </w:r>
            <w:r w:rsidR="008B045A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em DOU nº 217, de </w:t>
            </w:r>
            <w:proofErr w:type="gramStart"/>
            <w:r w:rsidR="008B045A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7</w:t>
            </w:r>
            <w:proofErr w:type="gramEnd"/>
            <w:r w:rsidR="008B045A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 de novembro de </w:t>
            </w:r>
            <w:r w:rsidR="008B045A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2008</w:t>
            </w:r>
            <w:r w:rsidR="008B045A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  <w:p w:rsidR="00A80AEF" w:rsidRPr="00305F14" w:rsidRDefault="008B045A" w:rsidP="008B04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r w:rsidR="00A80AEF" w:rsidRPr="00305F14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satis</w:t>
            </w:r>
            <w:r w:rsidR="00A80AEF" w:rsidRPr="00305F1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A80AEF"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</w:t>
            </w:r>
            <w:r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(Retificado </w:t>
            </w:r>
            <w: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em DOU nº 217, de </w:t>
            </w:r>
            <w:r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 xml:space="preserve">7 de novembro de </w:t>
            </w:r>
            <w: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2008</w:t>
            </w:r>
            <w:r w:rsidRPr="00305F1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</w:p>
        </w:tc>
      </w:tr>
      <w:tr w:rsidR="006F27DF" w:rsidRPr="00305F14" w:rsidTr="00F46E5E">
        <w:tc>
          <w:tcPr>
            <w:tcW w:w="142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277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Propilenoglicol</w:t>
            </w:r>
            <w:proofErr w:type="spellEnd"/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(*)</w:t>
            </w:r>
          </w:p>
        </w:tc>
        <w:tc>
          <w:tcPr>
            <w:tcW w:w="17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Umectante</w:t>
            </w:r>
          </w:p>
        </w:tc>
        <w:tc>
          <w:tcPr>
            <w:tcW w:w="2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F27DF" w:rsidRPr="00305F14" w:rsidRDefault="006F27DF" w:rsidP="006F27D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05F14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</w:tbl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(*) Somente permitidos para uso nas formulações contendo os aditivos com função </w:t>
      </w:r>
      <w:proofErr w:type="spellStart"/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glaceante</w:t>
      </w:r>
      <w:proofErr w:type="spellEnd"/>
      <w:r w:rsidRPr="00305F1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autorizados neste Regulamento Técnico.</w:t>
      </w:r>
    </w:p>
    <w:p w:rsidR="006F27DF" w:rsidRPr="00305F14" w:rsidRDefault="006F27DF" w:rsidP="006F27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6F27DF" w:rsidRPr="00305F14" w:rsidSect="002E46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8B0" w:rsidRDefault="004238B0" w:rsidP="004238B0">
      <w:pPr>
        <w:spacing w:after="0" w:line="240" w:lineRule="auto"/>
      </w:pPr>
      <w:r>
        <w:separator/>
      </w:r>
    </w:p>
  </w:endnote>
  <w:endnote w:type="continuationSeparator" w:id="0">
    <w:p w:rsidR="004238B0" w:rsidRDefault="004238B0" w:rsidP="0042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B0" w:rsidRDefault="004238B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B0" w:rsidRPr="008A0471" w:rsidRDefault="004238B0" w:rsidP="004238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238B0" w:rsidRDefault="004238B0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B0" w:rsidRDefault="004238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8B0" w:rsidRDefault="004238B0" w:rsidP="004238B0">
      <w:pPr>
        <w:spacing w:after="0" w:line="240" w:lineRule="auto"/>
      </w:pPr>
      <w:r>
        <w:separator/>
      </w:r>
    </w:p>
  </w:footnote>
  <w:footnote w:type="continuationSeparator" w:id="0">
    <w:p w:rsidR="004238B0" w:rsidRDefault="004238B0" w:rsidP="00423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B0" w:rsidRDefault="004238B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B0" w:rsidRPr="00B517AC" w:rsidRDefault="004238B0" w:rsidP="004238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B11D6BC" wp14:editId="3667C5D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38B0" w:rsidRPr="00B517AC" w:rsidRDefault="004238B0" w:rsidP="004238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238B0" w:rsidRPr="00B517AC" w:rsidRDefault="004238B0" w:rsidP="004238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38B0" w:rsidRDefault="004238B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8B0" w:rsidRDefault="004238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9B9"/>
    <w:rsid w:val="000A608B"/>
    <w:rsid w:val="001E708B"/>
    <w:rsid w:val="002E463E"/>
    <w:rsid w:val="00305F14"/>
    <w:rsid w:val="004238B0"/>
    <w:rsid w:val="006F27DF"/>
    <w:rsid w:val="007441BF"/>
    <w:rsid w:val="00786686"/>
    <w:rsid w:val="00807E3B"/>
    <w:rsid w:val="008527AC"/>
    <w:rsid w:val="008B045A"/>
    <w:rsid w:val="00A80AEF"/>
    <w:rsid w:val="00B30817"/>
    <w:rsid w:val="00B429B9"/>
    <w:rsid w:val="00D621E1"/>
    <w:rsid w:val="00E920BD"/>
    <w:rsid w:val="00F4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3E"/>
  </w:style>
  <w:style w:type="paragraph" w:styleId="Ttulo2">
    <w:name w:val="heading 2"/>
    <w:basedOn w:val="Normal"/>
    <w:link w:val="Ttulo2Char"/>
    <w:uiPriority w:val="9"/>
    <w:qFormat/>
    <w:rsid w:val="006F2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27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F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F27DF"/>
  </w:style>
  <w:style w:type="paragraph" w:customStyle="1" w:styleId="textocenter">
    <w:name w:val="texto_center"/>
    <w:basedOn w:val="Normal"/>
    <w:rsid w:val="006F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2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8B0"/>
  </w:style>
  <w:style w:type="paragraph" w:styleId="Rodap">
    <w:name w:val="footer"/>
    <w:basedOn w:val="Normal"/>
    <w:link w:val="RodapChar"/>
    <w:uiPriority w:val="99"/>
    <w:unhideWhenUsed/>
    <w:rsid w:val="0042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8B0"/>
  </w:style>
  <w:style w:type="paragraph" w:styleId="Textodebalo">
    <w:name w:val="Balloon Text"/>
    <w:basedOn w:val="Normal"/>
    <w:link w:val="TextodebaloChar"/>
    <w:uiPriority w:val="99"/>
    <w:semiHidden/>
    <w:unhideWhenUsed/>
    <w:rsid w:val="0042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2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27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F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F27DF"/>
  </w:style>
  <w:style w:type="paragraph" w:customStyle="1" w:styleId="textocenter">
    <w:name w:val="texto_center"/>
    <w:basedOn w:val="Normal"/>
    <w:rsid w:val="006F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16872-8942-4D97-B52B-0D179F744980}"/>
</file>

<file path=customXml/itemProps2.xml><?xml version="1.0" encoding="utf-8"?>
<ds:datastoreItem xmlns:ds="http://schemas.openxmlformats.org/officeDocument/2006/customXml" ds:itemID="{1909BDEA-DAFA-48E6-8931-E88697E804F2}"/>
</file>

<file path=customXml/itemProps3.xml><?xml version="1.0" encoding="utf-8"?>
<ds:datastoreItem xmlns:ds="http://schemas.openxmlformats.org/officeDocument/2006/customXml" ds:itemID="{5B3FFD4E-1CE0-4F44-97B4-0803DF718F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cp:lastPrinted>2016-08-23T18:53:00Z</cp:lastPrinted>
  <dcterms:created xsi:type="dcterms:W3CDTF">2015-12-30T18:59:00Z</dcterms:created>
  <dcterms:modified xsi:type="dcterms:W3CDTF">2016-08-23T18:53:00Z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