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B98" w:rsidRPr="00ED5C9C" w:rsidRDefault="007E6B98" w:rsidP="00ED5C9C">
      <w:pPr>
        <w:jc w:val="center"/>
        <w:rPr>
          <w:b/>
          <w:sz w:val="24"/>
          <w:szCs w:val="24"/>
        </w:rPr>
      </w:pPr>
      <w:bookmarkStart w:id="0" w:name="_GoBack"/>
      <w:bookmarkEnd w:id="0"/>
      <w:r w:rsidRPr="00ED5C9C">
        <w:rPr>
          <w:b/>
          <w:sz w:val="24"/>
          <w:szCs w:val="24"/>
        </w:rPr>
        <w:t>RESOLUÇÃO DA DIRETORIA COLEGIADA -R</w:t>
      </w:r>
      <w:r w:rsidR="00ED5C9C" w:rsidRPr="00ED5C9C">
        <w:rPr>
          <w:b/>
          <w:sz w:val="24"/>
          <w:szCs w:val="24"/>
        </w:rPr>
        <w:t>DC  Nº 90, DE 8 DE MAIO DE 2001</w:t>
      </w:r>
    </w:p>
    <w:p w:rsidR="00ED5C9C" w:rsidRPr="00ED5C9C" w:rsidRDefault="00ED5C9C" w:rsidP="00ED5C9C">
      <w:pPr>
        <w:jc w:val="center"/>
        <w:rPr>
          <w:b/>
          <w:sz w:val="24"/>
          <w:szCs w:val="24"/>
        </w:rPr>
      </w:pPr>
    </w:p>
    <w:p w:rsidR="007E6B98" w:rsidRPr="00ED5C9C" w:rsidRDefault="00ED5C9C" w:rsidP="00ED5C9C">
      <w:pPr>
        <w:pStyle w:val="Corpodetexto2"/>
        <w:ind w:left="0" w:right="51" w:firstLine="0"/>
        <w:jc w:val="center"/>
        <w:rPr>
          <w:b/>
          <w:color w:val="0000FF"/>
          <w:sz w:val="24"/>
          <w:szCs w:val="24"/>
        </w:rPr>
      </w:pPr>
      <w:r w:rsidRPr="00ED5C9C">
        <w:rPr>
          <w:b/>
          <w:color w:val="0000FF"/>
          <w:sz w:val="24"/>
          <w:szCs w:val="24"/>
        </w:rPr>
        <w:t>(</w:t>
      </w:r>
      <w:r w:rsidR="007E6B98" w:rsidRPr="00ED5C9C">
        <w:rPr>
          <w:b/>
          <w:color w:val="0000FF"/>
          <w:sz w:val="24"/>
          <w:szCs w:val="24"/>
        </w:rPr>
        <w:t xml:space="preserve">Publicada </w:t>
      </w:r>
      <w:r w:rsidRPr="00ED5C9C">
        <w:rPr>
          <w:b/>
          <w:color w:val="0000FF"/>
          <w:sz w:val="24"/>
          <w:szCs w:val="24"/>
        </w:rPr>
        <w:t>no DOU nº 107, de 4</w:t>
      </w:r>
      <w:r w:rsidR="007E6B98" w:rsidRPr="00ED5C9C">
        <w:rPr>
          <w:b/>
          <w:color w:val="0000FF"/>
          <w:sz w:val="24"/>
          <w:szCs w:val="24"/>
        </w:rPr>
        <w:t xml:space="preserve"> de junho de 2001</w:t>
      </w:r>
      <w:r w:rsidRPr="00ED5C9C">
        <w:rPr>
          <w:b/>
          <w:color w:val="0000FF"/>
          <w:sz w:val="24"/>
          <w:szCs w:val="24"/>
        </w:rPr>
        <w:t>)</w:t>
      </w:r>
    </w:p>
    <w:p w:rsidR="007E6B98" w:rsidRPr="00ED5C9C" w:rsidRDefault="007E6B98">
      <w:pPr>
        <w:pStyle w:val="Corpodetexto2"/>
        <w:ind w:left="0" w:right="51" w:firstLine="0"/>
        <w:rPr>
          <w:sz w:val="24"/>
          <w:szCs w:val="24"/>
        </w:rPr>
      </w:pPr>
    </w:p>
    <w:p w:rsidR="007E6B98" w:rsidRPr="00ED5C9C" w:rsidRDefault="007E6B98" w:rsidP="001E7C02">
      <w:pPr>
        <w:pStyle w:val="Corpodetexto2"/>
        <w:ind w:left="3969" w:right="283" w:firstLine="0"/>
        <w:rPr>
          <w:sz w:val="24"/>
          <w:szCs w:val="24"/>
        </w:rPr>
      </w:pPr>
      <w:r w:rsidRPr="00ED5C9C">
        <w:rPr>
          <w:sz w:val="24"/>
          <w:szCs w:val="24"/>
        </w:rPr>
        <w:t xml:space="preserve">Institui o Banco de Consultores </w:t>
      </w:r>
      <w:r w:rsidRPr="00ED5C9C">
        <w:rPr>
          <w:i/>
          <w:iCs/>
          <w:sz w:val="24"/>
          <w:szCs w:val="24"/>
        </w:rPr>
        <w:t>Ad hoc</w:t>
      </w:r>
      <w:r w:rsidRPr="00ED5C9C">
        <w:rPr>
          <w:sz w:val="24"/>
          <w:szCs w:val="24"/>
        </w:rPr>
        <w:t xml:space="preserve"> de   Medicamentos.</w:t>
      </w:r>
    </w:p>
    <w:p w:rsidR="007E6B98" w:rsidRPr="00ED5C9C" w:rsidRDefault="007E6B98">
      <w:pPr>
        <w:pStyle w:val="Corpodetexto2"/>
        <w:ind w:left="1701" w:right="51" w:firstLine="0"/>
        <w:rPr>
          <w:sz w:val="24"/>
          <w:szCs w:val="24"/>
        </w:rPr>
      </w:pPr>
    </w:p>
    <w:p w:rsidR="007E6B98" w:rsidRPr="00ED5C9C" w:rsidRDefault="007E6B98" w:rsidP="009E1E56">
      <w:pPr>
        <w:pStyle w:val="Corpodetexto2"/>
        <w:ind w:left="0" w:right="283" w:firstLine="567"/>
        <w:rPr>
          <w:sz w:val="24"/>
          <w:szCs w:val="24"/>
        </w:rPr>
      </w:pPr>
      <w:r w:rsidRPr="00ED5C9C">
        <w:rPr>
          <w:sz w:val="24"/>
          <w:szCs w:val="24"/>
        </w:rPr>
        <w:t>A Diretoria Colegiada da Agência Nacional de Vigilância Sanitária, no uso da atribuição que lhe confere o art. 11, inciso IV, do Regulamento da ANVISA aprovado pelo Decreto n.º 3.029, de 16 de abril de 1999, c/c o § 1º do Art. 111 do Regimento Interno aprovado pela Portaria n.º 593, de 25 de agosto de 2000, republicada no DOU de 22 de dezembro de 2000, em reunião realizada em 25 de abril de  2001, tendo em vista o disposto no art. 33 da Lei nº 9.782, de 26 de janeiro de 1999, adotou a seguinte Resolução e eu, Diretor-Presidente, determino a sua publicação:</w:t>
      </w:r>
    </w:p>
    <w:p w:rsidR="007E6B98" w:rsidRPr="00ED5C9C" w:rsidRDefault="007E6B98">
      <w:pPr>
        <w:pStyle w:val="Corpodetexto"/>
        <w:ind w:right="284" w:firstLine="567"/>
        <w:jc w:val="both"/>
        <w:rPr>
          <w:b w:val="0"/>
          <w:bCs w:val="0"/>
          <w:sz w:val="24"/>
          <w:szCs w:val="24"/>
        </w:rPr>
      </w:pPr>
    </w:p>
    <w:p w:rsidR="007E6B98" w:rsidRPr="00ED5C9C" w:rsidRDefault="007E6B98">
      <w:pPr>
        <w:pStyle w:val="Corpodetexto"/>
        <w:ind w:right="284" w:firstLine="567"/>
        <w:jc w:val="both"/>
        <w:rPr>
          <w:b w:val="0"/>
          <w:bCs w:val="0"/>
          <w:sz w:val="24"/>
          <w:szCs w:val="24"/>
        </w:rPr>
      </w:pPr>
      <w:r w:rsidRPr="00ED5C9C">
        <w:rPr>
          <w:b w:val="0"/>
          <w:bCs w:val="0"/>
          <w:sz w:val="24"/>
          <w:szCs w:val="24"/>
        </w:rPr>
        <w:t>Art. 1</w:t>
      </w:r>
      <w:r w:rsidRPr="00ED5C9C">
        <w:rPr>
          <w:b w:val="0"/>
          <w:bCs w:val="0"/>
          <w:sz w:val="24"/>
          <w:szCs w:val="24"/>
          <w:vertAlign w:val="superscript"/>
        </w:rPr>
        <w:t>o</w:t>
      </w:r>
      <w:r w:rsidRPr="00ED5C9C">
        <w:rPr>
          <w:b w:val="0"/>
          <w:bCs w:val="0"/>
          <w:sz w:val="24"/>
          <w:szCs w:val="24"/>
        </w:rPr>
        <w:t xml:space="preserve"> Fica instituído o Banco de Consultores  ad hoc de Medicamentos vinculado à Gerência-Geral de Medicamentos (GGMed),  da Agência Nacional de Vigilância Sanitária (ANVISA).</w:t>
      </w:r>
    </w:p>
    <w:p w:rsidR="007E6B98" w:rsidRPr="00ED5C9C" w:rsidRDefault="007E6B98">
      <w:pPr>
        <w:pStyle w:val="Corpodetexto"/>
        <w:ind w:right="284" w:firstLine="567"/>
        <w:jc w:val="both"/>
        <w:rPr>
          <w:b w:val="0"/>
          <w:bCs w:val="0"/>
          <w:sz w:val="24"/>
          <w:szCs w:val="24"/>
        </w:rPr>
      </w:pPr>
    </w:p>
    <w:p w:rsidR="007E6B98" w:rsidRPr="00ED5C9C" w:rsidRDefault="007E6B98">
      <w:pPr>
        <w:pStyle w:val="Corpodetexto"/>
        <w:ind w:right="284" w:firstLine="567"/>
        <w:jc w:val="both"/>
        <w:rPr>
          <w:b w:val="0"/>
          <w:bCs w:val="0"/>
          <w:sz w:val="24"/>
          <w:szCs w:val="24"/>
        </w:rPr>
      </w:pPr>
      <w:r w:rsidRPr="00ED5C9C">
        <w:rPr>
          <w:b w:val="0"/>
          <w:bCs w:val="0"/>
          <w:sz w:val="24"/>
          <w:szCs w:val="24"/>
        </w:rPr>
        <w:t>Art. 2º Os consultores deste banco têm por finalidade assessorar à GGMed e a CATEME em matérias especializadas relacionadas a medicamentos em todos os seus aspectos.</w:t>
      </w:r>
    </w:p>
    <w:p w:rsidR="007E6B98" w:rsidRPr="00ED5C9C" w:rsidRDefault="007E6B98">
      <w:pPr>
        <w:pStyle w:val="Corpodetexto"/>
        <w:ind w:right="284" w:firstLine="567"/>
        <w:jc w:val="both"/>
        <w:rPr>
          <w:b w:val="0"/>
          <w:bCs w:val="0"/>
          <w:sz w:val="24"/>
          <w:szCs w:val="24"/>
        </w:rPr>
      </w:pPr>
    </w:p>
    <w:p w:rsidR="007E6B98" w:rsidRPr="00ED5C9C" w:rsidRDefault="007E6B98">
      <w:pPr>
        <w:pStyle w:val="Corpodetexto"/>
        <w:ind w:right="284" w:firstLine="567"/>
        <w:jc w:val="both"/>
        <w:rPr>
          <w:b w:val="0"/>
          <w:bCs w:val="0"/>
          <w:sz w:val="24"/>
          <w:szCs w:val="24"/>
        </w:rPr>
      </w:pPr>
      <w:r w:rsidRPr="00ED5C9C">
        <w:rPr>
          <w:b w:val="0"/>
          <w:bCs w:val="0"/>
          <w:sz w:val="24"/>
          <w:szCs w:val="24"/>
        </w:rPr>
        <w:t xml:space="preserve">Art.3º Compete aos Consultores </w:t>
      </w:r>
      <w:r w:rsidRPr="00ED5C9C">
        <w:rPr>
          <w:b w:val="0"/>
          <w:bCs w:val="0"/>
          <w:i/>
          <w:iCs/>
          <w:sz w:val="24"/>
          <w:szCs w:val="24"/>
        </w:rPr>
        <w:t>ad doc</w:t>
      </w:r>
      <w:r w:rsidRPr="00ED5C9C">
        <w:rPr>
          <w:b w:val="0"/>
          <w:bCs w:val="0"/>
          <w:sz w:val="24"/>
          <w:szCs w:val="24"/>
        </w:rPr>
        <w:t>:</w:t>
      </w:r>
    </w:p>
    <w:p w:rsidR="007E6B98" w:rsidRPr="00ED5C9C" w:rsidRDefault="007E6B98">
      <w:pPr>
        <w:pStyle w:val="Corpodetexto"/>
        <w:ind w:right="284" w:firstLine="567"/>
        <w:jc w:val="both"/>
        <w:rPr>
          <w:b w:val="0"/>
          <w:bCs w:val="0"/>
          <w:sz w:val="24"/>
          <w:szCs w:val="24"/>
        </w:rPr>
      </w:pPr>
      <w:r w:rsidRPr="00ED5C9C">
        <w:rPr>
          <w:b w:val="0"/>
          <w:bCs w:val="0"/>
          <w:sz w:val="24"/>
          <w:szCs w:val="24"/>
        </w:rPr>
        <w:t>a) orientar na definição de métodos e procedimentos científicos e tecnológicos de cunho especializado;</w:t>
      </w:r>
    </w:p>
    <w:p w:rsidR="007E6B98" w:rsidRPr="00ED5C9C" w:rsidRDefault="007E6B98">
      <w:pPr>
        <w:pStyle w:val="Corpodetexto"/>
        <w:ind w:right="284" w:firstLine="567"/>
        <w:jc w:val="both"/>
        <w:rPr>
          <w:b w:val="0"/>
          <w:bCs w:val="0"/>
          <w:sz w:val="24"/>
          <w:szCs w:val="24"/>
        </w:rPr>
      </w:pPr>
      <w:r w:rsidRPr="00ED5C9C">
        <w:rPr>
          <w:b w:val="0"/>
          <w:bCs w:val="0"/>
          <w:sz w:val="24"/>
          <w:szCs w:val="24"/>
        </w:rPr>
        <w:t>b) realizar estudos e pesquisas envolvendo aspectos específicos da sua área de especialização;</w:t>
      </w:r>
    </w:p>
    <w:p w:rsidR="007E6B98" w:rsidRPr="00ED5C9C" w:rsidRDefault="007E6B98">
      <w:pPr>
        <w:pStyle w:val="Corpodetexto"/>
        <w:ind w:right="284" w:firstLine="567"/>
        <w:jc w:val="both"/>
        <w:rPr>
          <w:b w:val="0"/>
          <w:bCs w:val="0"/>
          <w:sz w:val="24"/>
          <w:szCs w:val="24"/>
        </w:rPr>
      </w:pPr>
      <w:r w:rsidRPr="00ED5C9C">
        <w:rPr>
          <w:b w:val="0"/>
          <w:bCs w:val="0"/>
          <w:sz w:val="24"/>
          <w:szCs w:val="24"/>
        </w:rPr>
        <w:t>c) emitir recomendações relativas a estudos e pesquisas realizadas e aspectos controversos afetos à sua especialidade;</w:t>
      </w:r>
    </w:p>
    <w:p w:rsidR="007E6B98" w:rsidRPr="00ED5C9C" w:rsidRDefault="00ED5C9C">
      <w:pPr>
        <w:pStyle w:val="Corpodetexto"/>
        <w:ind w:right="284" w:firstLine="567"/>
        <w:jc w:val="both"/>
        <w:rPr>
          <w:b w:val="0"/>
          <w:bCs w:val="0"/>
          <w:sz w:val="24"/>
          <w:szCs w:val="24"/>
        </w:rPr>
      </w:pPr>
      <w:r>
        <w:rPr>
          <w:b w:val="0"/>
          <w:bCs w:val="0"/>
          <w:sz w:val="24"/>
          <w:szCs w:val="24"/>
        </w:rPr>
        <w:t>d) subsidiar à GGMED</w:t>
      </w:r>
      <w:r w:rsidR="007E6B98" w:rsidRPr="00ED5C9C">
        <w:rPr>
          <w:b w:val="0"/>
          <w:bCs w:val="0"/>
          <w:sz w:val="24"/>
          <w:szCs w:val="24"/>
        </w:rPr>
        <w:t xml:space="preserve"> e à CATEME, em aspectos regulatórios e de controle do uso de medicamentos em áreas especializadas;</w:t>
      </w:r>
    </w:p>
    <w:p w:rsidR="007E6B98" w:rsidRPr="00ED5C9C" w:rsidRDefault="007E6B98">
      <w:pPr>
        <w:pStyle w:val="Corpodetexto"/>
        <w:ind w:right="284" w:firstLine="567"/>
        <w:jc w:val="both"/>
        <w:rPr>
          <w:b w:val="0"/>
          <w:bCs w:val="0"/>
          <w:sz w:val="24"/>
          <w:szCs w:val="24"/>
        </w:rPr>
      </w:pPr>
      <w:r w:rsidRPr="00ED5C9C">
        <w:rPr>
          <w:b w:val="0"/>
          <w:bCs w:val="0"/>
          <w:sz w:val="24"/>
          <w:szCs w:val="24"/>
        </w:rPr>
        <w:t>e) manifestar-se sobre questões relacionadas à farmacovigilância de medicamentos específicos da área;</w:t>
      </w:r>
    </w:p>
    <w:p w:rsidR="007E6B98" w:rsidRPr="00ED5C9C" w:rsidRDefault="007E6B98">
      <w:pPr>
        <w:pStyle w:val="Corpodetexto"/>
        <w:ind w:right="284" w:firstLine="567"/>
        <w:jc w:val="both"/>
        <w:rPr>
          <w:b w:val="0"/>
          <w:bCs w:val="0"/>
          <w:sz w:val="24"/>
          <w:szCs w:val="24"/>
        </w:rPr>
      </w:pPr>
    </w:p>
    <w:p w:rsidR="007E6B98" w:rsidRPr="00ED5C9C" w:rsidRDefault="007E6B98">
      <w:pPr>
        <w:pStyle w:val="Corpodetexto"/>
        <w:ind w:right="284" w:firstLine="567"/>
        <w:jc w:val="both"/>
        <w:rPr>
          <w:b w:val="0"/>
          <w:bCs w:val="0"/>
          <w:sz w:val="24"/>
          <w:szCs w:val="24"/>
        </w:rPr>
      </w:pPr>
      <w:r w:rsidRPr="00ED5C9C">
        <w:rPr>
          <w:b w:val="0"/>
          <w:bCs w:val="0"/>
          <w:sz w:val="24"/>
          <w:szCs w:val="24"/>
        </w:rPr>
        <w:t xml:space="preserve">Art.4º O Banco de Consultores </w:t>
      </w:r>
      <w:r w:rsidRPr="00ED5C9C">
        <w:rPr>
          <w:b w:val="0"/>
          <w:bCs w:val="0"/>
          <w:i/>
          <w:iCs/>
          <w:sz w:val="24"/>
          <w:szCs w:val="24"/>
        </w:rPr>
        <w:t>ad hoc</w:t>
      </w:r>
      <w:r w:rsidRPr="00ED5C9C">
        <w:rPr>
          <w:b w:val="0"/>
          <w:bCs w:val="0"/>
          <w:sz w:val="24"/>
          <w:szCs w:val="24"/>
        </w:rPr>
        <w:t xml:space="preserve"> será composto por profissionais com destacada experiência e notório saber em áreas especializadas do campo das ciências da saúde.</w:t>
      </w:r>
    </w:p>
    <w:p w:rsidR="007E6B98" w:rsidRPr="00ED5C9C" w:rsidRDefault="007E6B98">
      <w:pPr>
        <w:pStyle w:val="Corpodetexto"/>
        <w:ind w:right="284" w:firstLine="567"/>
        <w:jc w:val="both"/>
        <w:rPr>
          <w:b w:val="0"/>
          <w:bCs w:val="0"/>
          <w:sz w:val="24"/>
          <w:szCs w:val="24"/>
        </w:rPr>
      </w:pPr>
    </w:p>
    <w:p w:rsidR="007E6B98" w:rsidRPr="00ED5C9C" w:rsidRDefault="007E6B98">
      <w:pPr>
        <w:pStyle w:val="Corpodetexto"/>
        <w:ind w:right="284" w:firstLine="567"/>
        <w:jc w:val="both"/>
        <w:rPr>
          <w:b w:val="0"/>
          <w:bCs w:val="0"/>
          <w:sz w:val="24"/>
          <w:szCs w:val="24"/>
        </w:rPr>
      </w:pPr>
      <w:r w:rsidRPr="00ED5C9C">
        <w:rPr>
          <w:b w:val="0"/>
          <w:bCs w:val="0"/>
          <w:sz w:val="24"/>
          <w:szCs w:val="24"/>
        </w:rPr>
        <w:t xml:space="preserve">Art. 5º Os consultores </w:t>
      </w:r>
      <w:r w:rsidRPr="00ED5C9C">
        <w:rPr>
          <w:b w:val="0"/>
          <w:bCs w:val="0"/>
          <w:i/>
          <w:iCs/>
          <w:sz w:val="24"/>
          <w:szCs w:val="24"/>
        </w:rPr>
        <w:t>ad hoc</w:t>
      </w:r>
      <w:r w:rsidRPr="00ED5C9C">
        <w:rPr>
          <w:b w:val="0"/>
          <w:bCs w:val="0"/>
          <w:sz w:val="24"/>
          <w:szCs w:val="24"/>
        </w:rPr>
        <w:t xml:space="preserve"> não poderão ter vínculo empregatício com empresas farmacêuticas nacionais ou multinacionais.</w:t>
      </w:r>
    </w:p>
    <w:p w:rsidR="007E6B98" w:rsidRPr="00ED5C9C" w:rsidRDefault="007E6B98">
      <w:pPr>
        <w:pStyle w:val="Corpodetexto"/>
        <w:ind w:right="284" w:firstLine="567"/>
        <w:jc w:val="both"/>
        <w:rPr>
          <w:b w:val="0"/>
          <w:bCs w:val="0"/>
          <w:sz w:val="24"/>
          <w:szCs w:val="24"/>
        </w:rPr>
      </w:pPr>
    </w:p>
    <w:p w:rsidR="007E6B98" w:rsidRPr="00ED5C9C" w:rsidRDefault="007E6B98">
      <w:pPr>
        <w:pStyle w:val="Corpodetexto"/>
        <w:ind w:right="284" w:firstLine="567"/>
        <w:jc w:val="both"/>
        <w:rPr>
          <w:b w:val="0"/>
          <w:bCs w:val="0"/>
          <w:sz w:val="24"/>
          <w:szCs w:val="24"/>
        </w:rPr>
      </w:pPr>
      <w:r w:rsidRPr="00ED5C9C">
        <w:rPr>
          <w:b w:val="0"/>
          <w:bCs w:val="0"/>
          <w:sz w:val="24"/>
          <w:szCs w:val="24"/>
        </w:rPr>
        <w:t xml:space="preserve">§1º Os membros </w:t>
      </w:r>
      <w:r w:rsidRPr="00ED5C9C">
        <w:rPr>
          <w:b w:val="0"/>
          <w:bCs w:val="0"/>
          <w:i/>
          <w:iCs/>
          <w:sz w:val="24"/>
          <w:szCs w:val="24"/>
        </w:rPr>
        <w:t>ad hoc</w:t>
      </w:r>
      <w:r w:rsidRPr="00ED5C9C">
        <w:rPr>
          <w:b w:val="0"/>
          <w:bCs w:val="0"/>
          <w:sz w:val="24"/>
          <w:szCs w:val="24"/>
        </w:rPr>
        <w:t xml:space="preserve"> deverão preencher cadastro e termo de compromisso declarando a insistência, quando da realização de algum trabalho para a Agência Nacional de Vigilância Sanitária, declarando a inexistência do conflito de interesse entre o assunto do parecer e sua atividade profissional.</w:t>
      </w:r>
    </w:p>
    <w:p w:rsidR="007E6B98" w:rsidRPr="00ED5C9C" w:rsidRDefault="007E6B98">
      <w:pPr>
        <w:pStyle w:val="Corpodetexto"/>
        <w:ind w:right="284" w:firstLine="567"/>
        <w:jc w:val="both"/>
        <w:rPr>
          <w:b w:val="0"/>
          <w:bCs w:val="0"/>
          <w:sz w:val="24"/>
          <w:szCs w:val="24"/>
        </w:rPr>
      </w:pPr>
    </w:p>
    <w:p w:rsidR="007E6B98" w:rsidRPr="00ED5C9C" w:rsidRDefault="007E6B98">
      <w:pPr>
        <w:pStyle w:val="Corpodetexto"/>
        <w:ind w:right="284" w:firstLine="567"/>
        <w:jc w:val="both"/>
        <w:rPr>
          <w:b w:val="0"/>
          <w:bCs w:val="0"/>
          <w:sz w:val="24"/>
          <w:szCs w:val="24"/>
        </w:rPr>
      </w:pPr>
      <w:r w:rsidRPr="00ED5C9C">
        <w:rPr>
          <w:b w:val="0"/>
          <w:bCs w:val="0"/>
          <w:sz w:val="24"/>
          <w:szCs w:val="24"/>
        </w:rPr>
        <w:t>§2º Os membros das especialidades químico-industrial, farmácia industrial e de controle de qualidade industrial poderão, excepcionalmente, manter vínculo com laboratórios oficiais ou empresas estatais.</w:t>
      </w:r>
    </w:p>
    <w:p w:rsidR="007E6B98" w:rsidRPr="00ED5C9C" w:rsidRDefault="007E6B98">
      <w:pPr>
        <w:pStyle w:val="Corpodetexto"/>
        <w:ind w:right="284" w:firstLine="567"/>
        <w:jc w:val="both"/>
        <w:rPr>
          <w:b w:val="0"/>
          <w:bCs w:val="0"/>
          <w:sz w:val="24"/>
          <w:szCs w:val="24"/>
        </w:rPr>
      </w:pPr>
    </w:p>
    <w:p w:rsidR="007E6B98" w:rsidRPr="00ED5C9C" w:rsidRDefault="007E6B98">
      <w:pPr>
        <w:pStyle w:val="Corpodetexto"/>
        <w:ind w:right="284" w:firstLine="567"/>
        <w:jc w:val="both"/>
        <w:rPr>
          <w:b w:val="0"/>
          <w:bCs w:val="0"/>
          <w:sz w:val="24"/>
          <w:szCs w:val="24"/>
        </w:rPr>
      </w:pPr>
      <w:r w:rsidRPr="00ED5C9C">
        <w:rPr>
          <w:b w:val="0"/>
          <w:bCs w:val="0"/>
          <w:sz w:val="24"/>
          <w:szCs w:val="24"/>
        </w:rPr>
        <w:lastRenderedPageBreak/>
        <w:t>Art. 6º Os infratores terão seus nomes excluídos do Banco de Consultores, quando caracterizado conflito de interesses, enquanto permanecer a irregularidade, e será comunicado ao conselho profissional respectivo.</w:t>
      </w:r>
    </w:p>
    <w:p w:rsidR="007E6B98" w:rsidRPr="00ED5C9C" w:rsidRDefault="007E6B98">
      <w:pPr>
        <w:pStyle w:val="Corpodetexto"/>
        <w:ind w:right="284" w:firstLine="567"/>
        <w:jc w:val="both"/>
        <w:rPr>
          <w:b w:val="0"/>
          <w:bCs w:val="0"/>
          <w:sz w:val="24"/>
          <w:szCs w:val="24"/>
        </w:rPr>
      </w:pPr>
    </w:p>
    <w:p w:rsidR="007E6B98" w:rsidRPr="00ED5C9C" w:rsidRDefault="007E6B98">
      <w:pPr>
        <w:pStyle w:val="Corpodetexto"/>
        <w:ind w:right="284" w:firstLine="567"/>
        <w:jc w:val="both"/>
        <w:rPr>
          <w:b w:val="0"/>
          <w:bCs w:val="0"/>
          <w:sz w:val="24"/>
          <w:szCs w:val="24"/>
        </w:rPr>
      </w:pPr>
      <w:r w:rsidRPr="00ED5C9C">
        <w:rPr>
          <w:b w:val="0"/>
          <w:bCs w:val="0"/>
          <w:sz w:val="24"/>
          <w:szCs w:val="24"/>
        </w:rPr>
        <w:t xml:space="preserve">Art. 7º Os consultores </w:t>
      </w:r>
      <w:r w:rsidRPr="00ED5C9C">
        <w:rPr>
          <w:b w:val="0"/>
          <w:bCs w:val="0"/>
          <w:i/>
          <w:iCs/>
          <w:sz w:val="24"/>
          <w:szCs w:val="24"/>
        </w:rPr>
        <w:t>ad hoc</w:t>
      </w:r>
      <w:r w:rsidRPr="00ED5C9C">
        <w:rPr>
          <w:b w:val="0"/>
          <w:bCs w:val="0"/>
          <w:sz w:val="24"/>
          <w:szCs w:val="24"/>
        </w:rPr>
        <w:t>, na elaboração de seus pareceres, somente se reportarão à ANVISA e deverão manter sigilo sobre os mesmos.</w:t>
      </w:r>
    </w:p>
    <w:p w:rsidR="007E6B98" w:rsidRPr="00ED5C9C" w:rsidRDefault="007E6B98">
      <w:pPr>
        <w:pStyle w:val="Corpodetexto"/>
        <w:ind w:right="284" w:firstLine="567"/>
        <w:jc w:val="both"/>
        <w:rPr>
          <w:b w:val="0"/>
          <w:bCs w:val="0"/>
          <w:sz w:val="24"/>
          <w:szCs w:val="24"/>
        </w:rPr>
      </w:pPr>
    </w:p>
    <w:p w:rsidR="007E6B98" w:rsidRPr="00ED5C9C" w:rsidRDefault="007E6B98">
      <w:pPr>
        <w:pStyle w:val="Corpodetexto"/>
        <w:ind w:right="284" w:firstLine="567"/>
        <w:jc w:val="both"/>
        <w:rPr>
          <w:b w:val="0"/>
          <w:bCs w:val="0"/>
          <w:sz w:val="24"/>
          <w:szCs w:val="24"/>
        </w:rPr>
      </w:pPr>
      <w:r w:rsidRPr="00ED5C9C">
        <w:rPr>
          <w:b w:val="0"/>
          <w:bCs w:val="0"/>
          <w:sz w:val="24"/>
          <w:szCs w:val="24"/>
        </w:rPr>
        <w:t>Art. 8º As consultas serão respondidas em formulários especiais aos consultores em, no máximo, trinta dias do recebimento da solicitação.</w:t>
      </w:r>
    </w:p>
    <w:p w:rsidR="007E6B98" w:rsidRPr="00ED5C9C" w:rsidRDefault="007E6B98">
      <w:pPr>
        <w:pStyle w:val="Corpodetexto"/>
        <w:ind w:right="284" w:firstLine="567"/>
        <w:jc w:val="both"/>
        <w:rPr>
          <w:b w:val="0"/>
          <w:bCs w:val="0"/>
          <w:sz w:val="24"/>
          <w:szCs w:val="24"/>
        </w:rPr>
      </w:pPr>
    </w:p>
    <w:p w:rsidR="007E6B98" w:rsidRPr="00ED5C9C" w:rsidRDefault="007E6B98">
      <w:pPr>
        <w:pStyle w:val="Corpodetexto"/>
        <w:ind w:right="284" w:firstLine="567"/>
        <w:jc w:val="both"/>
        <w:rPr>
          <w:b w:val="0"/>
          <w:bCs w:val="0"/>
          <w:sz w:val="24"/>
          <w:szCs w:val="24"/>
        </w:rPr>
      </w:pPr>
      <w:r w:rsidRPr="00ED5C9C">
        <w:rPr>
          <w:b w:val="0"/>
          <w:bCs w:val="0"/>
          <w:sz w:val="24"/>
          <w:szCs w:val="24"/>
        </w:rPr>
        <w:t>§ 1º A falta de resposta às consultas, por duas vezes, sem justificativa, implicará na retirada do consultor do Banco.</w:t>
      </w:r>
    </w:p>
    <w:p w:rsidR="007E6B98" w:rsidRPr="00ED5C9C" w:rsidRDefault="007E6B98">
      <w:pPr>
        <w:pStyle w:val="Corpodetexto"/>
        <w:ind w:right="284" w:firstLine="567"/>
        <w:jc w:val="both"/>
        <w:rPr>
          <w:b w:val="0"/>
          <w:bCs w:val="0"/>
          <w:sz w:val="24"/>
          <w:szCs w:val="24"/>
        </w:rPr>
      </w:pPr>
    </w:p>
    <w:p w:rsidR="007E6B98" w:rsidRPr="00ED5C9C" w:rsidRDefault="007E6B98">
      <w:pPr>
        <w:pStyle w:val="Corpodetexto"/>
        <w:ind w:right="284" w:firstLine="567"/>
        <w:jc w:val="both"/>
        <w:rPr>
          <w:sz w:val="24"/>
          <w:szCs w:val="24"/>
        </w:rPr>
      </w:pPr>
      <w:r w:rsidRPr="00ED5C9C">
        <w:rPr>
          <w:b w:val="0"/>
          <w:bCs w:val="0"/>
          <w:sz w:val="24"/>
          <w:szCs w:val="24"/>
        </w:rPr>
        <w:t>§2º Os consultores Ad hoc serão remunerados, por parecer, cujos valores serão estabelecidos segundo critérios aprovados pela Diretoria Colegiada.</w:t>
      </w:r>
    </w:p>
    <w:p w:rsidR="007E6B98" w:rsidRPr="00ED5C9C" w:rsidRDefault="007E6B98">
      <w:pPr>
        <w:pStyle w:val="Corpodetexto"/>
        <w:ind w:right="284" w:firstLine="567"/>
        <w:jc w:val="both"/>
        <w:rPr>
          <w:b w:val="0"/>
          <w:bCs w:val="0"/>
          <w:sz w:val="24"/>
          <w:szCs w:val="24"/>
        </w:rPr>
      </w:pPr>
    </w:p>
    <w:p w:rsidR="007E6B98" w:rsidRPr="00ED5C9C" w:rsidRDefault="007E6B98">
      <w:pPr>
        <w:pStyle w:val="Corpodetexto"/>
        <w:ind w:right="284" w:firstLine="567"/>
        <w:jc w:val="both"/>
        <w:rPr>
          <w:b w:val="0"/>
          <w:bCs w:val="0"/>
          <w:sz w:val="24"/>
          <w:szCs w:val="24"/>
        </w:rPr>
      </w:pPr>
      <w:r w:rsidRPr="00ED5C9C">
        <w:rPr>
          <w:b w:val="0"/>
          <w:bCs w:val="0"/>
          <w:sz w:val="24"/>
          <w:szCs w:val="24"/>
        </w:rPr>
        <w:t>Art. 9</w:t>
      </w:r>
      <w:r w:rsidRPr="00ED5C9C">
        <w:rPr>
          <w:b w:val="0"/>
          <w:bCs w:val="0"/>
          <w:sz w:val="24"/>
          <w:szCs w:val="24"/>
          <w:vertAlign w:val="superscript"/>
        </w:rPr>
        <w:t>o</w:t>
      </w:r>
      <w:r w:rsidRPr="00ED5C9C">
        <w:rPr>
          <w:b w:val="0"/>
          <w:bCs w:val="0"/>
          <w:sz w:val="24"/>
          <w:szCs w:val="24"/>
        </w:rPr>
        <w:t xml:space="preserve"> Esta Resolução entra em vigor na data de sua publicação.</w:t>
      </w:r>
    </w:p>
    <w:p w:rsidR="007E6B98" w:rsidRPr="00ED5C9C" w:rsidRDefault="007E6B98">
      <w:pPr>
        <w:pStyle w:val="Corpodetexto"/>
        <w:ind w:right="284" w:firstLine="567"/>
        <w:jc w:val="both"/>
        <w:rPr>
          <w:b w:val="0"/>
          <w:bCs w:val="0"/>
          <w:sz w:val="24"/>
          <w:szCs w:val="24"/>
        </w:rPr>
      </w:pPr>
    </w:p>
    <w:p w:rsidR="007E6B98" w:rsidRPr="00ED5C9C" w:rsidRDefault="007E6B98">
      <w:pPr>
        <w:pStyle w:val="Corpodetexto"/>
        <w:ind w:right="284" w:firstLine="567"/>
        <w:jc w:val="both"/>
        <w:rPr>
          <w:b w:val="0"/>
          <w:bCs w:val="0"/>
          <w:sz w:val="24"/>
          <w:szCs w:val="24"/>
        </w:rPr>
      </w:pPr>
    </w:p>
    <w:p w:rsidR="007E6B98" w:rsidRPr="00ED5C9C" w:rsidRDefault="007E6B98">
      <w:pPr>
        <w:pStyle w:val="Corpodetexto"/>
        <w:ind w:right="284" w:firstLine="567"/>
        <w:jc w:val="center"/>
        <w:rPr>
          <w:b w:val="0"/>
          <w:bCs w:val="0"/>
          <w:sz w:val="24"/>
          <w:szCs w:val="24"/>
        </w:rPr>
      </w:pPr>
      <w:r w:rsidRPr="00ED5C9C">
        <w:rPr>
          <w:b w:val="0"/>
          <w:bCs w:val="0"/>
          <w:sz w:val="24"/>
          <w:szCs w:val="24"/>
        </w:rPr>
        <w:t>GONZALO VECINA NETO</w:t>
      </w:r>
    </w:p>
    <w:sectPr w:rsidR="007E6B98" w:rsidRPr="00ED5C9C" w:rsidSect="001E7C02">
      <w:headerReference w:type="default" r:id="rId7"/>
      <w:footerReference w:type="default" r:id="rId8"/>
      <w:pgSz w:w="11907" w:h="16840" w:code="9"/>
      <w:pgMar w:top="1440" w:right="1080" w:bottom="1440" w:left="1080" w:header="0" w:footer="303" w:gutter="0"/>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37E" w:rsidRDefault="004D437E">
      <w:r>
        <w:separator/>
      </w:r>
    </w:p>
  </w:endnote>
  <w:endnote w:type="continuationSeparator" w:id="0">
    <w:p w:rsidR="004D437E" w:rsidRDefault="004D4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C9C" w:rsidRPr="00ED5C9C" w:rsidRDefault="00ED5C9C" w:rsidP="00ED5C9C">
    <w:pPr>
      <w:tabs>
        <w:tab w:val="center" w:pos="4252"/>
        <w:tab w:val="right" w:pos="8504"/>
      </w:tabs>
      <w:jc w:val="center"/>
      <w:rPr>
        <w:sz w:val="24"/>
      </w:rPr>
    </w:pPr>
    <w:r w:rsidRPr="00ED5C9C">
      <w:rPr>
        <w:color w:val="943634"/>
        <w:sz w:val="24"/>
      </w:rPr>
      <w:t>Este texto não substitui o(s) publicado(s) em Diário Oficial da União.</w:t>
    </w:r>
  </w:p>
  <w:p w:rsidR="007E6B98" w:rsidRDefault="007E6B98">
    <w:pPr>
      <w:pStyle w:val="Rodap"/>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37E" w:rsidRDefault="004D437E">
      <w:r>
        <w:separator/>
      </w:r>
    </w:p>
  </w:footnote>
  <w:footnote w:type="continuationSeparator" w:id="0">
    <w:p w:rsidR="004D437E" w:rsidRDefault="004D4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C9C" w:rsidRDefault="00ED5C9C">
    <w:pPr>
      <w:pStyle w:val="Cabealho"/>
    </w:pPr>
  </w:p>
  <w:p w:rsidR="00ED5C9C" w:rsidRDefault="00ED5C9C">
    <w:pPr>
      <w:pStyle w:val="Cabealho"/>
    </w:pPr>
  </w:p>
  <w:p w:rsidR="00ED5C9C" w:rsidRPr="004525E5" w:rsidRDefault="00ED5C9C" w:rsidP="00ED5C9C">
    <w:pPr>
      <w:tabs>
        <w:tab w:val="center" w:pos="4252"/>
        <w:tab w:val="right" w:pos="8504"/>
      </w:tabs>
      <w:jc w:val="center"/>
    </w:pPr>
    <w:r w:rsidRPr="00AF7AD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2pt;height:51pt;visibility:visible">
          <v:imagedata r:id="rId1" o:title=""/>
        </v:shape>
      </w:pict>
    </w:r>
  </w:p>
  <w:p w:rsidR="00ED5C9C" w:rsidRPr="004525E5" w:rsidRDefault="00ED5C9C" w:rsidP="00ED5C9C">
    <w:pPr>
      <w:tabs>
        <w:tab w:val="center" w:pos="4252"/>
        <w:tab w:val="right" w:pos="8504"/>
      </w:tabs>
      <w:jc w:val="center"/>
      <w:rPr>
        <w:b/>
        <w:sz w:val="24"/>
      </w:rPr>
    </w:pPr>
    <w:r w:rsidRPr="004525E5">
      <w:rPr>
        <w:b/>
        <w:sz w:val="24"/>
      </w:rPr>
      <w:t>Ministério da Saúde - MS</w:t>
    </w:r>
  </w:p>
  <w:p w:rsidR="00ED5C9C" w:rsidRPr="004525E5" w:rsidRDefault="00ED5C9C" w:rsidP="00ED5C9C">
    <w:pPr>
      <w:tabs>
        <w:tab w:val="center" w:pos="4252"/>
        <w:tab w:val="right" w:pos="8504"/>
      </w:tabs>
      <w:jc w:val="center"/>
      <w:rPr>
        <w:b/>
        <w:sz w:val="24"/>
      </w:rPr>
    </w:pPr>
    <w:r w:rsidRPr="004525E5">
      <w:rPr>
        <w:b/>
        <w:sz w:val="24"/>
      </w:rPr>
      <w:t>Agência Nacional de Vigilância Sanitária - ANVISA</w:t>
    </w:r>
  </w:p>
  <w:p w:rsidR="00ED5C9C" w:rsidRDefault="00ED5C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26AE9"/>
    <w:multiLevelType w:val="singleLevel"/>
    <w:tmpl w:val="04160017"/>
    <w:lvl w:ilvl="0">
      <w:start w:val="1"/>
      <w:numFmt w:val="lowerLetter"/>
      <w:lvlText w:val="%1)"/>
      <w:lvlJc w:val="left"/>
      <w:pPr>
        <w:tabs>
          <w:tab w:val="num" w:pos="360"/>
        </w:tabs>
        <w:ind w:left="360" w:hanging="3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0C4D9B"/>
    <w:rsid w:val="000C4D9B"/>
    <w:rsid w:val="001E7C02"/>
    <w:rsid w:val="0043713E"/>
    <w:rsid w:val="004525E5"/>
    <w:rsid w:val="004D437E"/>
    <w:rsid w:val="007E6B98"/>
    <w:rsid w:val="009E1E56"/>
    <w:rsid w:val="00AF7AD6"/>
    <w:rsid w:val="00ED5C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E81856C-8DF9-40BB-B4FB-93BDDF51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page number" w:semiHidden="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outlineLvl w:val="0"/>
    </w:pPr>
    <w:rPr>
      <w:rFonts w:ascii="Arial" w:hAnsi="Arial" w:cs="Arial"/>
      <w:b/>
      <w:bCs/>
      <w:sz w:val="28"/>
      <w:szCs w:val="28"/>
    </w:rPr>
  </w:style>
  <w:style w:type="paragraph" w:styleId="Ttulo2">
    <w:name w:val="heading 2"/>
    <w:basedOn w:val="Normal"/>
    <w:next w:val="Normal"/>
    <w:link w:val="Ttulo2Char"/>
    <w:uiPriority w:val="99"/>
    <w:qFormat/>
    <w:pPr>
      <w:keepNext/>
      <w:jc w:val="center"/>
      <w:outlineLvl w:val="1"/>
    </w:pPr>
    <w:rPr>
      <w:rFonts w:ascii="Arial" w:hAnsi="Arial" w:cs="Arial"/>
      <w:b/>
      <w:bCs/>
      <w:sz w:val="28"/>
      <w:szCs w:val="28"/>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paragraph" w:styleId="Corpodetexto2">
    <w:name w:val="Body Text 2"/>
    <w:basedOn w:val="Normal"/>
    <w:link w:val="Corpodetexto2Char"/>
    <w:uiPriority w:val="99"/>
    <w:pPr>
      <w:ind w:left="2832" w:firstLine="3"/>
      <w:jc w:val="both"/>
    </w:p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
    <w:name w:val="Body Text"/>
    <w:basedOn w:val="Normal"/>
    <w:link w:val="CorpodetextoChar"/>
    <w:uiPriority w:val="99"/>
    <w:rPr>
      <w:b/>
      <w:bCs/>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character" w:styleId="Nmerodepgina">
    <w:name w:val="page number"/>
    <w:basedOn w:val="Fontepargpadro"/>
    <w:uiPriority w:val="99"/>
    <w:rPr>
      <w:rFonts w:cs="Times New Roman"/>
    </w:rPr>
  </w:style>
  <w:style w:type="paragraph" w:styleId="Rodap">
    <w:name w:val="footer"/>
    <w:basedOn w:val="Normal"/>
    <w:link w:val="RodapChar"/>
    <w:uiPriority w:val="99"/>
    <w:pPr>
      <w:tabs>
        <w:tab w:val="center" w:pos="4419"/>
        <w:tab w:val="right" w:pos="8838"/>
      </w:tabs>
    </w:pPr>
    <w:rPr>
      <w:sz w:val="24"/>
      <w:szCs w:val="24"/>
    </w:rPr>
  </w:style>
  <w:style w:type="character" w:customStyle="1" w:styleId="RodapChar">
    <w:name w:val="Rodapé Char"/>
    <w:basedOn w:val="Fontepargpadro"/>
    <w:link w:val="Rodap"/>
    <w:uiPriority w:val="99"/>
    <w:semiHidden/>
    <w:locked/>
    <w:rPr>
      <w:rFonts w:ascii="Times New Roman" w:hAnsi="Times New Roman" w:cs="Times New Roman"/>
      <w:sz w:val="20"/>
      <w:szCs w:val="20"/>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2784</Characters>
  <Application>Microsoft Office Word</Application>
  <DocSecurity>0</DocSecurity>
  <Lines>23</Lines>
  <Paragraphs>6</Paragraphs>
  <ScaleCrop>false</ScaleCrop>
  <Company>anvs</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dc:title>
  <dc:subject/>
  <dc:creator>sylvia.novaes</dc:creator>
  <cp:keywords/>
  <dc:description/>
  <cp:lastModifiedBy>Helder Lopes da Silva</cp:lastModifiedBy>
  <cp:revision>2</cp:revision>
  <cp:lastPrinted>2018-10-30T18:25:00Z</cp:lastPrinted>
  <dcterms:created xsi:type="dcterms:W3CDTF">2019-02-06T11:35:00Z</dcterms:created>
  <dcterms:modified xsi:type="dcterms:W3CDTF">2019-02-06T11:35:00Z</dcterms:modified>
</cp:coreProperties>
</file>