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AA73AF" w:rsidRDefault="00D9124D" w:rsidP="00D912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73AF">
        <w:rPr>
          <w:rFonts w:ascii="Times New Roman" w:hAnsi="Times New Roman" w:cs="Times New Roman"/>
          <w:b/>
          <w:sz w:val="24"/>
          <w:szCs w:val="24"/>
        </w:rPr>
        <w:t>RESOLUÇÃO – RE Nº 397, DE 12 DE NOVEMBRO DE 2004</w:t>
      </w:r>
    </w:p>
    <w:p w:rsidR="00D9124D" w:rsidRPr="00AA73AF" w:rsidRDefault="00D9124D" w:rsidP="00D9124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A73A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9D4B68" w:rsidRPr="00AA73AF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AA73A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219, de 16 de novembro de 2004)</w:t>
      </w:r>
    </w:p>
    <w:p w:rsidR="0099104E" w:rsidRPr="00AA73AF" w:rsidRDefault="0099104E" w:rsidP="00D9124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97DD2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RE nº 1.170, de 19 de abril de 2006)</w:t>
      </w:r>
      <w:bookmarkStart w:id="0" w:name="_GoBack"/>
      <w:bookmarkEnd w:id="0"/>
    </w:p>
    <w:p w:rsidR="00930AFA" w:rsidRPr="00AA73AF" w:rsidRDefault="00930AFA" w:rsidP="00930AFA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930AFA" w:rsidRPr="00AA73AF" w:rsidRDefault="00930AFA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AA73AF">
        <w:rPr>
          <w:rFonts w:ascii="Times New Roman" w:hAnsi="Times New Roman" w:cs="Times New Roman"/>
          <w:b/>
          <w:strike/>
          <w:sz w:val="24"/>
          <w:szCs w:val="24"/>
        </w:rPr>
        <w:t>Adjunto da Diretoria Colegiada da Agência Nacional de Vigilância Sanitária</w:t>
      </w: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, no uso da atribuição, que lhe confere a Portaria n.º 13, de 16 de janeiro de 2004, </w:t>
      </w:r>
    </w:p>
    <w:p w:rsidR="00930AFA" w:rsidRPr="00AA73AF" w:rsidRDefault="00930AFA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considerando o disposto no art.111, inciso II, alínea "a" § 3º do Regimento Interno aprovado pela Portaria nº 593, de 25 de agosto de 2000, republicada no DOU de 22 de dezembro de 2000, </w:t>
      </w:r>
    </w:p>
    <w:p w:rsidR="00930AFA" w:rsidRPr="00AA73AF" w:rsidRDefault="00930AFA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considerando que a matéria foi submetida à apreciação da Diretoria Colegiada, que a aprovou em reunião realizada em 8 de novembro de 2004, resolve: </w:t>
      </w:r>
    </w:p>
    <w:p w:rsidR="00930AFA" w:rsidRPr="00AA73AF" w:rsidRDefault="00930AFA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Art. 1º Determinar a publicação do "Guia para provas de biodisponibilidade relativa/bioequivalência" anexo. </w:t>
      </w:r>
    </w:p>
    <w:p w:rsidR="00930AFA" w:rsidRPr="00AA73AF" w:rsidRDefault="00930AFA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Art. 2º Fica revogada a Resolução RE nº 896, de 29 de maio de 2003. </w:t>
      </w:r>
    </w:p>
    <w:p w:rsidR="00930AFA" w:rsidRPr="00AA73AF" w:rsidRDefault="00930AFA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Art. 3º Esta Resolução entra em vigor na data de sua publicação. </w:t>
      </w:r>
    </w:p>
    <w:p w:rsidR="00930AFA" w:rsidRPr="005B5413" w:rsidRDefault="00930AFA" w:rsidP="004A3837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5B5413">
        <w:rPr>
          <w:rFonts w:ascii="Times New Roman" w:hAnsi="Times New Roman" w:cs="Times New Roman"/>
          <w:b/>
          <w:strike/>
          <w:sz w:val="24"/>
          <w:szCs w:val="24"/>
        </w:rPr>
        <w:t>DAVI RUMEL</w:t>
      </w:r>
    </w:p>
    <w:p w:rsidR="004A3837" w:rsidRPr="005F4243" w:rsidRDefault="00961215" w:rsidP="004A3837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5F4243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4A3837" w:rsidRPr="005F4243" w:rsidRDefault="00961215" w:rsidP="004A3837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5F4243">
        <w:rPr>
          <w:rFonts w:ascii="Times New Roman" w:hAnsi="Times New Roman" w:cs="Times New Roman"/>
          <w:b/>
          <w:strike/>
          <w:sz w:val="24"/>
          <w:szCs w:val="24"/>
        </w:rPr>
        <w:t>GUIA PARA PROVAS DE BIODISPONIBILIDADE RELATIVA/BIOEQUIVALÊNCIA DE MEDICAMENTOS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Os estudos de biodisponibilidade relativa/bioequivalência deverão contemplar três etapas: clínica, analítica e estatística, e devem ser planejados e apresentados conforme o GUIA PARA ELABORAÇÃO DE PROTOCOLO DE ESTUDO DE BIODISPONIBILIDADE RELATIVA/ BIOEQUIVALÊNCIA e o GUIA PARA ELABORAÇÃO DE RELATÓRIO TÉCNICO DE ESTUDO DE BIODISPONIBILIDADE RELATIVA/ BIOEQUIVALÊNCIA, respectivamente.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1. Etapa clínica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a) os medicamentos teste e referência a serem submetidos ao estudo de biodisponibilidade relativa/bioequivalência deverão, inicialmente, ser analisados segundo sua monografia inscrita na Farmacopéia Brasileira e, na falta desta, em outros </w:t>
      </w:r>
      <w:r w:rsidRPr="00AA73AF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códigos autorizados pela legislação vigente, seguindo GUIA PARA REALIZAÇÃO DO ESTUDO E ELABORAÇÃO DO RELATÓRIO DE EQUIVALÊNCIA FARMACÊUTICA E PERFIL DE DISSOLUÇÃO. A diferença de teor do fármaco entre os medicamentos teste e referência não deve ser superior a 5% (cinco por cento).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b) o estudo é realizado por meio da quantificação do fármaco e/ou do metabólito ativo na circulação (sangue, plasma ou soro) ou através de sua quantificação na urina, quando justificado. Alternativamente, o estudo poderá ser realizado comparando medidas farmacodinâmicas.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c) estudos que envolvem medida de efeito farmacodinâmico são indicados nos casos em que não é possível quantificar o fármaco na circulação de forma precisa e exata, pois a concentração do mesmo é muita baixa (por exemplo: suspensões oftálmicas, inalatórios de ação local, etc).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>d) em geral, a bioequivalência deve ser baseada no fármaco inalterado.</w:t>
      </w:r>
      <w:r w:rsidR="00C433C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A não quantificação do fármaco inalterado só será aceita nos casos em que sua concentração não puder ser adequadamente determinada por limitações analíticas ou devido à rápida biotransformação. Nesses casos, uma justificativa científica apropriada para ausência dos dados do fármaco inalterado deve ser enviada. Quando houver metabólito ativo (equipotente ou mais ativo que o inalterado), formado por metabolismo pré-sistêmico, que contribua para a eficácia e segurança do produto e não haja informações na literatura científica, ou esta indique a necessidade da quantificação do fármaco inalterado e do metabólito, o protocolo de estudo poderá ser submetido para avaliação prévia da Anvisa. No protocolo deverá ser definido em qual analito a bioequivalência será estabelecida. A substância escolhida para esse fim deverá cumprir os critérios estabelecidos para determinação da bioequivalência.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e) o estudo convencional é do tipo aberto, aleatório, cruzado. Os voluntários recebem os medicamentos teste e referência em ocasiões separadas (períodos), em esquema de dose simples ou múltipla. Pode ser utilizado desenho paralelo, quando se fizer necessário.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f) os medicamentos devem ser administrados aos voluntários com volume de líquido padronizado (geralmente 200 mL de água).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g) o número de períodos e de seqüências do estudo será determinado em função do número de medicamentos em análise, de forma a assegurar a validade estatística, conforme GUIA PARA PLANEJAMENTO E REALIZAÇÃO DA ETAPA ESTATÍSTICA DE ESTUDOS DE BIODISPONIBILIDADE RELATIVA/BIOEQUIVALÊNCIA. O intervalo entre os períodos deverá ser de, no mínimo, sete meias-vidas de eliminação do fármaco e/ou metabólito.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h) o cronograma de coleta das amostras deverá contemplar um tempo igual ou superior a 3-5 vezes a meia-vida de eliminação do fármaco ou metabólito.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i) o número de voluntários sadios deverá sempre assegurar poder estatístico suficiente para garantir a confiabilidade dos resultados do estudo de bioequivalência. O número de voluntários pode ser calculado por meio do coeficiente de variação e poder do teste (ver GUIA PARA PLANEJAMENTO E REALIZAÇÃO DA ETAPA ESTATÍSTICA DE ESTUDOS DE BIODISPONIBILIDADE RELATIVA/ BIOEQUIVALÊNCIA), não sendo permitida utilização de número inferior a 12. Na falta de dados relativos ao coeficiente de variação do fármaco, o pesquisador responsável pelo estudo pode optar por utilizar um número mínimo de 24 voluntários. O protocolo do estudo deve estabelecer número suficiente de voluntários prevendo possíveis "dropouts".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676F3">
        <w:rPr>
          <w:rFonts w:ascii="Times New Roman" w:hAnsi="Times New Roman" w:cs="Times New Roman"/>
          <w:strike/>
          <w:sz w:val="24"/>
          <w:szCs w:val="24"/>
        </w:rPr>
        <w:t>j)</w:t>
      </w: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 de acordo com o medicamento, os estudos poderão ser conduzidos em voluntários com idade entre 18 e 50 anos e capazes de fornecer seu consentimento livre e esclarecido, do sexo masculino, feminino ou ambos, sendo que neste último caso, o número de homens e de mulheres deverá ser igual e distribuído igualmente entre as seqüências.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>k) o peso dos voluntários deverá estar em um limite de ± 15% do peso considerado normal para homens e mulheres, levando</w:t>
      </w:r>
      <w:r w:rsidR="004676F3">
        <w:rPr>
          <w:rFonts w:ascii="Times New Roman" w:hAnsi="Times New Roman" w:cs="Times New Roman"/>
          <w:strike/>
          <w:sz w:val="24"/>
          <w:szCs w:val="24"/>
        </w:rPr>
        <w:t>-</w:t>
      </w: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se em consideração altura e estrutura física.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l) deve-se evitar indivíduos fumantes e com histórico de abuso de álcool ou drogas. Caso sejam incluídos fumantes, os mesmos devem estar identificados.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m) no caso de estudos que necessitem de voluntários com características diferentes das citadas anteriormente, a inclusão dos mesmos deverá ser justificada cientificamente.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n) medicamentos citotóxicos devem ser testados em pacientes voluntários, portadores da patologia para a qual o medicamento é indicado, com seu consentimento livre e esclarecido ou de seu representante legal, em caso de impossibilidade do mesmo. </w:t>
      </w:r>
    </w:p>
    <w:p w:rsidR="00961215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>o) no caso de fármacos que apresentam meia-vida de eliminação longa (superior a 24 horas), poderá ser utilizado um cronograma de coletas alternativo, até 72 horas, que possibilite a determinação da área sob a curva truncada (ASC0-72), ou um estudo paralelo.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p) estudos de doses múltiplas não são, geralmente, recomendados, uma vez que estudos de dose única são mais sensíveis a diferenças nas formulações. Entretanto, os estudos de dose múltipla podem ser utilizados nos casos em que, reconhecidamente, os mesmos reduzam a variabilidade inter-individual no processo de absorção do fármaco.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q) devem ser realizados estudos com alimentação nos seguintes casos: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q.1. formas de liberação prolongada ou controlada (adicionalmente ao estudo em jejum);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q.2. formas de liberação retardada, que apresentam revestimento gastro-resistente, quando houver indicação na Lista 1- Forma de Administração (acessível no portal da Anvisa). Caso o fármaco não conste na lista, deve ser realizada uma consulta prévia à Anvisa para verificação da necessidade do estudo com alimentos;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q.3. formas de liberação imediata cujos fármacos tenham a absorção influenciada pela presença de alimentos, resultando em alterações clinicamente significativas e na indicação de administração do medicamento com alimentos. Deve ser verificada a Lista 1- Forma de Administração (acessível no portal da Anvisa) e, caso o fármaco não conste na lista, deve ser realizada uma consulta prévia à Anvisa para verificação da necessidade do estudo com alimentos.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>Nos casos de dúvida, o protocolo de estudo poderá ser submetido à avaliação prévia da Anvisa.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 r) o investigador deve preencher um formulário de registro de eventos adversos e relacionar os procedimentos adotados para controle ou tratamento dos mesmos.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s) o projeto de pesquisa, o protocolo experimental e o termo de consentimento livre e esclarecido devem ser submetidos e aprovados por um Comitê de Ética em Pesquisa (CEP) credenciado no Comitê Nacional de Ética em Pesquisa (CONEP) do Conselho Nacional de Saúde/MS. Deverá constar no título do projeto o nome do fármaco, a dose por unidade, a forma farmacêutica e nome do fabricante dos medicamentos teste e de referência. Esse título também deverá constar no protocolo experimental, no termo de consentimento livre e esclarecido, bem como no parecer do Comitê de Ética em Pesquisa.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t) os voluntários participantes dos estudos clínicos, que necessitem de confinamento, deverão permanecer em local apropriado que atenda às Boas Práticas de Clínica (BPC), sob a responsabilidade de profissional médico.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u) nos casos em que seja necessário transportar as amostras biológicas (plasma, soro ou urina) deve-se seguir o procedimento de Boas Práticas de Laboratório (BPL) para preservar as características do material a ser analisado. Utilizar embalagem apropriada (certificada) de acondicionamento e transporte. A temperatura da amostra biológica deverá ser registrada com aparelho calibrado para garantir a manutenção da estabilidade durante o período de transporte. </w:t>
      </w:r>
    </w:p>
    <w:p w:rsidR="00163453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v) devem ser relatados e justificados todos os desvios de protocolo. </w:t>
      </w:r>
    </w:p>
    <w:p w:rsidR="001A6837" w:rsidRPr="00AA73AF" w:rsidRDefault="001A6837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CC1B39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2. Etapa analítica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Todas as etapas do estudo deverão ser realizadas de acordo com as normas internacionais de Boas Práticas de Laboratório (BPL) e conforme o GUIA PARA VALIDAÇÃO DE MÉTODOS ANALÍTICOS E BIOANALÍTICOS. </w:t>
      </w:r>
    </w:p>
    <w:p w:rsidR="00163453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a) o método bioanalítico, cromatográfico ou outro, empregado para quantificação do fármaco em líquido biológico, deve ser descrito detalhadamente na forma de protocolo ou procedimento operacional padrão (POP) e deve ser validado para sua aplicação. É recomendável o uso de métodos cromatográficos; </w:t>
      </w:r>
    </w:p>
    <w:p w:rsidR="00CC1B39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c) a relação entre a concentração do analito e a resposta proveniente do método bioanalítico deve apresentar reprodutibilidade e ser definida adequadamente, empregando-se número suficiente de padrões para a construção da curva de calibração; </w:t>
      </w:r>
    </w:p>
    <w:p w:rsidR="00CC1B39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d) devem ser realizados estudos de estabilidade do analito (fármaco ou metabólito) nos líquidos biológicos; </w:t>
      </w:r>
    </w:p>
    <w:p w:rsidR="00CC1B39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e) o protocolo analítico deverá conter os critérios para reanálise das amostras; não mais do que 20% das amostras poderão ser reanalisadas; </w:t>
      </w:r>
    </w:p>
    <w:p w:rsidR="00CC1B39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f) deve-se justificar qualquer perda de amostra; </w:t>
      </w:r>
    </w:p>
    <w:p w:rsidR="00CC1B39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g) a análise das amostras poderá ser efetuada nas seguintes condições: sem réplica, em duplicata ou triplicata. Para análise de amostras em duplicata ou triplicata, os critérios de aceitação dos resultados devem ser descritos no POP; </w:t>
      </w:r>
    </w:p>
    <w:p w:rsidR="00B95C32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h) todas as determinações com valores menores do que o Limite Inferior de Quantificação (LIQ), deverão ser consideradas iguais a zero, para os cálculos estatísticos; </w:t>
      </w:r>
    </w:p>
    <w:p w:rsidR="00B95C32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i) o protocolo analítico deverá conter os critérios de reintegração de dados da amostra; </w:t>
      </w:r>
    </w:p>
    <w:p w:rsidR="00B95C32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j) devem ser relatados e justificados todos os desvios de protocolo. </w:t>
      </w:r>
    </w:p>
    <w:p w:rsidR="00562F6F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3. Etapa estatística </w:t>
      </w:r>
    </w:p>
    <w:p w:rsidR="00562F6F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3.1. Metodologia geral </w:t>
      </w:r>
    </w:p>
    <w:p w:rsidR="00562F6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3.1.1. os parâmetros farmacocinéticos serão obtidos das curvas de concentração sangüínea do fármaco versus tempo, e analisados estatisticamente para determinação da bioequivalência. </w:t>
      </w:r>
    </w:p>
    <w:p w:rsidR="002E4340" w:rsidRPr="00AA73AF" w:rsidRDefault="002E4340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562F6F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61791">
        <w:rPr>
          <w:rFonts w:ascii="Times New Roman" w:hAnsi="Times New Roman" w:cs="Times New Roman"/>
          <w:strike/>
          <w:sz w:val="24"/>
          <w:szCs w:val="24"/>
        </w:rPr>
        <w:lastRenderedPageBreak/>
        <w:t>3.1.2.</w:t>
      </w: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 os seguintes parâmetros farmacocinéticos devem ser determinados: </w:t>
      </w:r>
    </w:p>
    <w:p w:rsidR="00562F6F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3.1.2.1. a área sob a curva de concentração sangüínea versus tempo, calculada pelo método dos trapezóides, do tempo zero ao tempo t (ASC0-t), onde t é o tempo relativo à última concentração do fármaco determinada experimentalmente (acima do limite de quantificação); </w:t>
      </w:r>
    </w:p>
    <w:p w:rsidR="00961215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3.1.2.2. </w:t>
      </w:r>
      <w:proofErr w:type="gramStart"/>
      <w:r w:rsidRPr="00AA73AF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 área sob a curva de concentração sangüínea versus tempo, calculada do tempo zero ao tempo infinito (ASC0-inf), onde ASC0-inf = ASC0-t + Ct/k, onde Ct é a última concentração do fármaco determinada experimentalmente (acima do limite de quantificação) e k é a constante de eliminação da fase terminal. A ASC0-t deve ser igual ou superior a 80% da ASC0-inf, exceto nos casos em que se utiliza ASC truncada;</w:t>
      </w:r>
    </w:p>
    <w:p w:rsidR="00562F6F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3.1.2.3. o pico de concentração máxima (Cmax) do fármaco e/ou metabólito e o tempo para atingir este pico (Tmax) devem ser obtidos diretamente, sem interpolação dos dados; </w:t>
      </w:r>
    </w:p>
    <w:p w:rsidR="00562F6F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3.1.2.4. a meia-vida de eliminação (t1/2) do fármaco e/ou metabólito também deve ser determinada, embora não haja necessidade de tratamento estatístico; </w:t>
      </w:r>
    </w:p>
    <w:p w:rsidR="00562F6F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3.1.2.5. para estudos que empregam doses múltiplas devem ser determinados os seguintes parâmetros: </w:t>
      </w:r>
    </w:p>
    <w:p w:rsidR="00562F6F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a) ASC0-t calculado no intervalo de dose (tau) no estado de equilíbrio; </w:t>
      </w:r>
    </w:p>
    <w:p w:rsidR="00562F6F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b) Cmax e Tmax, obtidos sem interpolação de dados; concentração mínima do fármaco (Cmin), determinada no final de cada intervalo de dose do estado de equilíbrio; </w:t>
      </w:r>
    </w:p>
    <w:p w:rsidR="00C71E08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71E08">
        <w:rPr>
          <w:rFonts w:ascii="Times New Roman" w:hAnsi="Times New Roman" w:cs="Times New Roman"/>
          <w:strike/>
          <w:sz w:val="24"/>
          <w:szCs w:val="24"/>
        </w:rPr>
        <w:t xml:space="preserve">c) concentração média do fármaco no estado de equilíbrio (C* = ASC0-t /tau); </w:t>
      </w:r>
    </w:p>
    <w:p w:rsidR="00562F6F" w:rsidRPr="00C71E08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71E08">
        <w:rPr>
          <w:rFonts w:ascii="Times New Roman" w:hAnsi="Times New Roman" w:cs="Times New Roman"/>
          <w:strike/>
          <w:sz w:val="24"/>
          <w:szCs w:val="24"/>
        </w:rPr>
        <w:t xml:space="preserve">d) grau de flutuação no estado de equilíbrio; </w:t>
      </w:r>
    </w:p>
    <w:p w:rsidR="00562F6F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3.1.2.6. para avaliação da bioequivalência devem ser empregados os parâmetros ASC0-t, Cmax e Tmax; </w:t>
      </w:r>
    </w:p>
    <w:p w:rsidR="00562F6F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3.1.2.7. no caso de estudos com doses múltiplas deve-se comprovar que o estado de equilíbrio foi alcançado após a administração dos medicamentos teste e referência; </w:t>
      </w:r>
    </w:p>
    <w:p w:rsidR="00562F6F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3.1.3. não será permitida a exclusão de mais de 5% dos voluntários que participaram do estudo até a sua conclusão ou a falta de mais de 10% dos valores das concentrações sangüíneas do fármaco provenientes da administração de cada medicamento por voluntário. </w:t>
      </w:r>
    </w:p>
    <w:p w:rsidR="00562F6F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3.2. Análise estatística (ver GUIA PARA PLANEJAMENTO E EXECUÇÃO DA ETAPA ESTATÍSTICA DE ESTUDOS DE BIODISPONIBILIDADE RELATIVA/ BIOEQUIVALÊNCIA) </w:t>
      </w:r>
    </w:p>
    <w:p w:rsidR="00562F6F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a) deve-se apresentar tabela contendo valores individuais, médias (aritmética e geométrica), desvio padrão e coeficiente de variação de todos os parâmetros farmacocinéticos relacionados à administração dos medicamentos teste e referência; </w:t>
      </w:r>
    </w:p>
    <w:p w:rsidR="00562F6F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b) recomenda-se que os parâmetros ASC0-t e Cmax sejam transformados em logaritmo natural, uma vez que, em geral, a distribuição dos dados transformados se aproxima mais a uma distribuição normal em relação aos dados originais. Deve-se apresentar justificativas nos casos em que se optar por realizar a análise estatística nos dados em escala original; </w:t>
      </w:r>
    </w:p>
    <w:p w:rsidR="00562F6F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c) deve-se realizar análise de variância (ANOVA) dos parâmetros farmacocinéticos ASC0-t e Cmax transformados para avaliar os efeitos de seqüência, de voluntário dentro da seqüência, período e tratamento. Além disso, deve-se apresentar tabela de ANOVA contendo fonte, grau de liberdade, soma dos quadrados, quadrado médio, estatística F, valor de p e os coeficientes de variação intra e inter individuais; </w:t>
      </w:r>
    </w:p>
    <w:p w:rsidR="00961215" w:rsidRPr="00AA73AF" w:rsidRDefault="00961215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>d) deve-se construir um intervalo de confiança (IC) de 90% para a diferença das médias dos dados transformados dos medicamentos teste e referência, para os parâmetros ASC0-t e Cmax. O antilogarítmo do IC obtido constitui o IC de 90% para a razão das médias geométricas dos parâmetros:</w:t>
      </w:r>
    </w:p>
    <w:p w:rsidR="00961215" w:rsidRPr="00AA73AF" w:rsidRDefault="00DB333E" w:rsidP="00930AFA">
      <w:pPr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96658</wp:posOffset>
                </wp:positionH>
                <wp:positionV relativeFrom="paragraph">
                  <wp:posOffset>180671</wp:posOffset>
                </wp:positionV>
                <wp:extent cx="3538330" cy="7952"/>
                <wp:effectExtent l="0" t="0" r="24130" b="3048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8330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19CCD" id="Conector reto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pt,14.25pt" to="286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" strokecolor="black [3040]"/>
            </w:pict>
          </mc:Fallback>
        </mc:AlternateContent>
      </w:r>
      <w:r w:rsidR="00961215" w:rsidRPr="00AA73AF">
        <w:rPr>
          <w:rFonts w:ascii="Times New Roman" w:hAnsi="Times New Roman" w:cs="Times New Roman"/>
          <w:strike/>
          <w:noProof/>
          <w:sz w:val="24"/>
          <w:szCs w:val="24"/>
          <w:lang w:eastAsia="pt-BR"/>
        </w:rPr>
        <w:drawing>
          <wp:inline distT="0" distB="0" distL="0" distR="0" wp14:anchorId="6D95C9BD" wp14:editId="266949ED">
            <wp:extent cx="3690002" cy="36000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919" t="86181" r="24890" b="8580"/>
                    <a:stretch/>
                  </pic:blipFill>
                  <pic:spPr bwMode="auto">
                    <a:xfrm>
                      <a:off x="0" y="0"/>
                      <a:ext cx="3690002" cy="3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837" w:rsidRPr="00AA73AF" w:rsidRDefault="004A3837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A construção desse IC deve ser baseada no quadrado médio residual da ANOVA obtida conforme item c; </w:t>
      </w:r>
    </w:p>
    <w:p w:rsidR="004A3837" w:rsidRPr="00EF609A" w:rsidRDefault="004A3837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F609A">
        <w:rPr>
          <w:rFonts w:ascii="Times New Roman" w:hAnsi="Times New Roman" w:cs="Times New Roman"/>
          <w:strike/>
          <w:sz w:val="24"/>
          <w:szCs w:val="24"/>
        </w:rPr>
        <w:t xml:space="preserve">e) Tmax será analisado como diferença individual (= teste - referência), construindo-se IC de 90%, utilizando-se teste não paramétrico; </w:t>
      </w:r>
    </w:p>
    <w:p w:rsidR="004A3837" w:rsidRPr="00AA73AF" w:rsidRDefault="004A3837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>f) dois medicamentos serão considerados bioequivalentes se os valores extremos do intervalo de confiança de 90% da razão das médias geométricas (ASC</w:t>
      </w:r>
      <w:r w:rsidRPr="00F4187E">
        <w:rPr>
          <w:rFonts w:ascii="Times New Roman" w:hAnsi="Times New Roman" w:cs="Times New Roman"/>
          <w:strike/>
          <w:sz w:val="24"/>
          <w:szCs w:val="24"/>
          <w:vertAlign w:val="subscript"/>
        </w:rPr>
        <w:t xml:space="preserve">0-t </w:t>
      </w:r>
      <w:r w:rsidRPr="00AA73AF">
        <w:rPr>
          <w:rFonts w:ascii="Times New Roman" w:hAnsi="Times New Roman" w:cs="Times New Roman"/>
          <w:strike/>
          <w:sz w:val="24"/>
          <w:szCs w:val="24"/>
        </w:rPr>
        <w:t>teste/ASC</w:t>
      </w:r>
      <w:r w:rsidRPr="00F4187E">
        <w:rPr>
          <w:rFonts w:ascii="Times New Roman" w:hAnsi="Times New Roman" w:cs="Times New Roman"/>
          <w:strike/>
          <w:sz w:val="24"/>
          <w:szCs w:val="24"/>
          <w:vertAlign w:val="subscript"/>
        </w:rPr>
        <w:t xml:space="preserve">0-t </w:t>
      </w:r>
      <w:r w:rsidRPr="00AA73AF">
        <w:rPr>
          <w:rFonts w:ascii="Times New Roman" w:hAnsi="Times New Roman" w:cs="Times New Roman"/>
          <w:strike/>
          <w:sz w:val="24"/>
          <w:szCs w:val="24"/>
        </w:rPr>
        <w:t>referência e C</w:t>
      </w:r>
      <w:r w:rsidRPr="00F4187E">
        <w:rPr>
          <w:rFonts w:ascii="Times New Roman" w:hAnsi="Times New Roman" w:cs="Times New Roman"/>
          <w:strike/>
          <w:sz w:val="24"/>
          <w:szCs w:val="24"/>
          <w:vertAlign w:val="subscript"/>
        </w:rPr>
        <w:t>max</w:t>
      </w:r>
      <w:r w:rsidRPr="00AA73AF">
        <w:rPr>
          <w:rFonts w:ascii="Times New Roman" w:hAnsi="Times New Roman" w:cs="Times New Roman"/>
          <w:strike/>
          <w:sz w:val="24"/>
          <w:szCs w:val="24"/>
        </w:rPr>
        <w:t>teste/C</w:t>
      </w:r>
      <w:r w:rsidRPr="00F4187E">
        <w:rPr>
          <w:rFonts w:ascii="Times New Roman" w:hAnsi="Times New Roman" w:cs="Times New Roman"/>
          <w:strike/>
          <w:sz w:val="24"/>
          <w:szCs w:val="24"/>
          <w:vertAlign w:val="subscript"/>
        </w:rPr>
        <w:t>max</w:t>
      </w: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referência) forem maiores que 0,8 e menores que 1,25. Outros limites de IC de 90% para Cmax, previamente estabelecidos no protocolo, poderão ser aceitos mediante justificativas científicas. Quando clinicamente relevante, Tmax deverá também ser considerado; </w:t>
      </w:r>
    </w:p>
    <w:p w:rsidR="004A3837" w:rsidRPr="00AA73AF" w:rsidRDefault="004A3837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g) esse método baseado em IC é equivalente ao procedimento de dois testes unicaudais correspondentes com a hipótese nula de bioinequivalência, com nível de significância de 5% (alfa=0,05); </w:t>
      </w:r>
    </w:p>
    <w:p w:rsidR="004A3837" w:rsidRPr="00AA73AF" w:rsidRDefault="004A3837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h) programas estatísticos validados devem ser utilizados; </w:t>
      </w:r>
    </w:p>
    <w:p w:rsidR="004A3837" w:rsidRPr="00AA73AF" w:rsidRDefault="004A3837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i) quando necessário, modelos estatísticos apropriados, dependendo do tipo de estudo (por exemplo, de doses múltiplas) devem ser empregados; </w:t>
      </w:r>
    </w:p>
    <w:p w:rsidR="004A3837" w:rsidRPr="00AA73AF" w:rsidRDefault="004A3837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 xml:space="preserve">j) no caso de voluntários que apresentem comportamento discrepante nos parâmetros farmacocinéticos, em relação aos demais voluntários, sua exclusão do estudo deverá ser justificada. Deverão ser apresentados os resultados do estudo com e sem a inclusão de seus dados. </w:t>
      </w:r>
    </w:p>
    <w:p w:rsidR="004A3837" w:rsidRPr="00AA73AF" w:rsidRDefault="004A3837" w:rsidP="004A38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A73AF">
        <w:rPr>
          <w:rFonts w:ascii="Times New Roman" w:hAnsi="Times New Roman" w:cs="Times New Roman"/>
          <w:strike/>
          <w:sz w:val="24"/>
          <w:szCs w:val="24"/>
        </w:rPr>
        <w:t>k) informar os programas (softwares) usados para a análise estatística dos dados.</w:t>
      </w:r>
    </w:p>
    <w:sectPr w:rsidR="004A3837" w:rsidRPr="00AA73A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89E" w:rsidRDefault="009B789E" w:rsidP="009B789E">
      <w:pPr>
        <w:spacing w:after="0" w:line="240" w:lineRule="auto"/>
      </w:pPr>
      <w:r>
        <w:separator/>
      </w:r>
    </w:p>
  </w:endnote>
  <w:endnote w:type="continuationSeparator" w:id="0">
    <w:p w:rsidR="009B789E" w:rsidRDefault="009B789E" w:rsidP="009B7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9E" w:rsidRDefault="009B789E" w:rsidP="009B789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9B789E" w:rsidRDefault="009B78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89E" w:rsidRDefault="009B789E" w:rsidP="009B789E">
      <w:pPr>
        <w:spacing w:after="0" w:line="240" w:lineRule="auto"/>
      </w:pPr>
      <w:r>
        <w:separator/>
      </w:r>
    </w:p>
  </w:footnote>
  <w:footnote w:type="continuationSeparator" w:id="0">
    <w:p w:rsidR="009B789E" w:rsidRDefault="009B789E" w:rsidP="009B7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9E" w:rsidRDefault="009B789E" w:rsidP="009B789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B789E" w:rsidRDefault="009B789E" w:rsidP="009B789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9B789E" w:rsidRDefault="009B789E" w:rsidP="009B789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B789E" w:rsidRDefault="009B789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24D"/>
    <w:rsid w:val="000561F6"/>
    <w:rsid w:val="000743AE"/>
    <w:rsid w:val="00105067"/>
    <w:rsid w:val="00115904"/>
    <w:rsid w:val="00163453"/>
    <w:rsid w:val="001A3721"/>
    <w:rsid w:val="001A6837"/>
    <w:rsid w:val="001E708B"/>
    <w:rsid w:val="00241F3D"/>
    <w:rsid w:val="0025607B"/>
    <w:rsid w:val="00270EFE"/>
    <w:rsid w:val="00271E01"/>
    <w:rsid w:val="0027558C"/>
    <w:rsid w:val="002A3C17"/>
    <w:rsid w:val="002E4340"/>
    <w:rsid w:val="00320B71"/>
    <w:rsid w:val="00361791"/>
    <w:rsid w:val="00440A7A"/>
    <w:rsid w:val="004676F3"/>
    <w:rsid w:val="00472DE5"/>
    <w:rsid w:val="004A3837"/>
    <w:rsid w:val="00542CC0"/>
    <w:rsid w:val="00562F6F"/>
    <w:rsid w:val="00595198"/>
    <w:rsid w:val="005B5413"/>
    <w:rsid w:val="005F4243"/>
    <w:rsid w:val="00655D7B"/>
    <w:rsid w:val="006D2F4A"/>
    <w:rsid w:val="007441BF"/>
    <w:rsid w:val="00763EF6"/>
    <w:rsid w:val="00786686"/>
    <w:rsid w:val="00805A51"/>
    <w:rsid w:val="00873A49"/>
    <w:rsid w:val="00897DD2"/>
    <w:rsid w:val="008D7BD7"/>
    <w:rsid w:val="00930AFA"/>
    <w:rsid w:val="00961215"/>
    <w:rsid w:val="0099104E"/>
    <w:rsid w:val="009A2E6B"/>
    <w:rsid w:val="009B789E"/>
    <w:rsid w:val="009D4B68"/>
    <w:rsid w:val="009F6EA5"/>
    <w:rsid w:val="00A9599D"/>
    <w:rsid w:val="00AA73AF"/>
    <w:rsid w:val="00AC63E1"/>
    <w:rsid w:val="00B30817"/>
    <w:rsid w:val="00B95C32"/>
    <w:rsid w:val="00BD67BD"/>
    <w:rsid w:val="00C433C5"/>
    <w:rsid w:val="00C52D82"/>
    <w:rsid w:val="00C71E08"/>
    <w:rsid w:val="00C859E0"/>
    <w:rsid w:val="00CC1B39"/>
    <w:rsid w:val="00D621E1"/>
    <w:rsid w:val="00D9124D"/>
    <w:rsid w:val="00D9318E"/>
    <w:rsid w:val="00DB333E"/>
    <w:rsid w:val="00E041B7"/>
    <w:rsid w:val="00E05826"/>
    <w:rsid w:val="00ED0A12"/>
    <w:rsid w:val="00EF52C8"/>
    <w:rsid w:val="00EF609A"/>
    <w:rsid w:val="00F4187E"/>
    <w:rsid w:val="00F43A22"/>
    <w:rsid w:val="00F46165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0791598"/>
  <w15:docId w15:val="{F1349AAD-9F62-4FE0-B9F7-6702E116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6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12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B78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789E"/>
  </w:style>
  <w:style w:type="paragraph" w:styleId="Rodap">
    <w:name w:val="footer"/>
    <w:basedOn w:val="Normal"/>
    <w:link w:val="RodapChar"/>
    <w:uiPriority w:val="99"/>
    <w:unhideWhenUsed/>
    <w:rsid w:val="009B78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7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5445A5-467D-47F9-91E6-E0E54552FF0D}"/>
</file>

<file path=customXml/itemProps2.xml><?xml version="1.0" encoding="utf-8"?>
<ds:datastoreItem xmlns:ds="http://schemas.openxmlformats.org/officeDocument/2006/customXml" ds:itemID="{FD38A487-E15E-4753-B22B-D0C15682C96A}"/>
</file>

<file path=customXml/itemProps3.xml><?xml version="1.0" encoding="utf-8"?>
<ds:datastoreItem xmlns:ds="http://schemas.openxmlformats.org/officeDocument/2006/customXml" ds:itemID="{7DCA4C18-E243-4292-9644-D2EAD832CD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2509</Words>
  <Characters>13551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54</cp:revision>
  <dcterms:created xsi:type="dcterms:W3CDTF">2015-10-13T17:19:00Z</dcterms:created>
  <dcterms:modified xsi:type="dcterms:W3CDTF">2017-05-24T19:16:00Z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