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AF" w:rsidRPr="004E3E37" w:rsidRDefault="00034EAF" w:rsidP="00034EAF">
      <w:pPr>
        <w:jc w:val="center"/>
        <w:rPr>
          <w:rFonts w:ascii="Times New Roman" w:hAnsi="Times New Roman" w:cs="Times New Roman"/>
          <w:b/>
          <w:sz w:val="24"/>
          <w:szCs w:val="24"/>
        </w:rPr>
      </w:pPr>
      <w:r w:rsidRPr="004E3E37">
        <w:rPr>
          <w:rFonts w:ascii="Times New Roman" w:hAnsi="Times New Roman" w:cs="Times New Roman"/>
          <w:b/>
          <w:sz w:val="24"/>
          <w:szCs w:val="24"/>
        </w:rPr>
        <w:t>RESOLUÇÃO – RE Nº 896, DE 29 DE MAIO DE 2003</w:t>
      </w:r>
    </w:p>
    <w:p w:rsidR="00034EAF" w:rsidRPr="004E3E37" w:rsidRDefault="004E3E37" w:rsidP="00034EAF">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104, de </w:t>
      </w:r>
      <w:r w:rsidR="00034EAF" w:rsidRPr="004E3E37">
        <w:rPr>
          <w:rFonts w:ascii="Times New Roman" w:hAnsi="Times New Roman" w:cs="Times New Roman"/>
          <w:b/>
          <w:color w:val="0000FF"/>
          <w:sz w:val="24"/>
          <w:szCs w:val="24"/>
        </w:rPr>
        <w:t>2 de junho de 2003)</w:t>
      </w:r>
    </w:p>
    <w:p w:rsidR="000A4B21" w:rsidRPr="004E3E37" w:rsidRDefault="000A4B21" w:rsidP="00034EAF">
      <w:pPr>
        <w:jc w:val="center"/>
        <w:rPr>
          <w:rFonts w:ascii="Times New Roman" w:hAnsi="Times New Roman" w:cs="Times New Roman"/>
          <w:b/>
          <w:color w:val="0000FF"/>
          <w:sz w:val="24"/>
          <w:szCs w:val="24"/>
        </w:rPr>
      </w:pPr>
      <w:r w:rsidRPr="004E3E37">
        <w:rPr>
          <w:rFonts w:ascii="Times New Roman" w:hAnsi="Times New Roman" w:cs="Times New Roman"/>
          <w:b/>
          <w:color w:val="0000FF"/>
          <w:sz w:val="24"/>
          <w:szCs w:val="24"/>
        </w:rPr>
        <w:t xml:space="preserve">(Revogada pela Resolução – RE nº 397, de 12 de novembro de 2004)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O </w:t>
      </w:r>
      <w:r w:rsidRPr="004E3E37">
        <w:rPr>
          <w:rFonts w:ascii="Times New Roman" w:hAnsi="Times New Roman" w:cs="Times New Roman"/>
          <w:b/>
          <w:strike/>
          <w:sz w:val="24"/>
          <w:szCs w:val="24"/>
        </w:rPr>
        <w:t>Adjunto da Diretoria Colegiada da Agência Nacional de Vigilância Sanitária</w:t>
      </w:r>
      <w:r w:rsidRPr="004E3E37">
        <w:rPr>
          <w:rFonts w:ascii="Times New Roman" w:hAnsi="Times New Roman" w:cs="Times New Roman"/>
          <w:strike/>
          <w:sz w:val="24"/>
          <w:szCs w:val="24"/>
        </w:rPr>
        <w:t xml:space="preserve">, no uso da atribuição, que lhe confere a Portaria </w:t>
      </w:r>
      <w:proofErr w:type="gramStart"/>
      <w:r w:rsidRPr="004E3E37">
        <w:rPr>
          <w:rFonts w:ascii="Times New Roman" w:hAnsi="Times New Roman" w:cs="Times New Roman"/>
          <w:strike/>
          <w:sz w:val="24"/>
          <w:szCs w:val="24"/>
        </w:rPr>
        <w:t>n.º</w:t>
      </w:r>
      <w:proofErr w:type="gramEnd"/>
      <w:r w:rsidRPr="004E3E37">
        <w:rPr>
          <w:rFonts w:ascii="Times New Roman" w:hAnsi="Times New Roman" w:cs="Times New Roman"/>
          <w:strike/>
          <w:sz w:val="24"/>
          <w:szCs w:val="24"/>
        </w:rPr>
        <w:t xml:space="preserve"> 238, de 31 de março de 2003,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proofErr w:type="gramStart"/>
      <w:r w:rsidRPr="004E3E37">
        <w:rPr>
          <w:rFonts w:ascii="Times New Roman" w:hAnsi="Times New Roman" w:cs="Times New Roman"/>
          <w:strike/>
          <w:sz w:val="24"/>
          <w:szCs w:val="24"/>
        </w:rPr>
        <w:t>considerando</w:t>
      </w:r>
      <w:proofErr w:type="gramEnd"/>
      <w:r w:rsidRPr="004E3E37">
        <w:rPr>
          <w:rFonts w:ascii="Times New Roman" w:hAnsi="Times New Roman" w:cs="Times New Roman"/>
          <w:strike/>
          <w:sz w:val="24"/>
          <w:szCs w:val="24"/>
        </w:rPr>
        <w:t xml:space="preserve"> o disposto no art.111, inciso II, alínea “a” § 3º do Regimento Interno aprovado pela Portaria nº 593, de 25 de agosto de 2000, republicada no DOU de 22 de dezembro de 2000,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proofErr w:type="gramStart"/>
      <w:r w:rsidRPr="004E3E37">
        <w:rPr>
          <w:rFonts w:ascii="Times New Roman" w:hAnsi="Times New Roman" w:cs="Times New Roman"/>
          <w:strike/>
          <w:sz w:val="24"/>
          <w:szCs w:val="24"/>
        </w:rPr>
        <w:t>considerando</w:t>
      </w:r>
      <w:proofErr w:type="gramEnd"/>
      <w:r w:rsidRPr="004E3E37">
        <w:rPr>
          <w:rFonts w:ascii="Times New Roman" w:hAnsi="Times New Roman" w:cs="Times New Roman"/>
          <w:strike/>
          <w:sz w:val="24"/>
          <w:szCs w:val="24"/>
        </w:rPr>
        <w:t xml:space="preserve"> que a matéria foi submetida à apreciação da Diretoria Colegiada, que a aprovou em reunião realizada em 6 de março de 2003, resolve: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Art. 1º Determinar a publicação do "Guia para provas de biodisponibilidade relativa/bioequivalência" anexo.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Art. 2º Esta Resolução entra em vigor na data de sua publicação.</w:t>
      </w:r>
    </w:p>
    <w:p w:rsidR="00F636F8" w:rsidRPr="004E3E37" w:rsidRDefault="00847015" w:rsidP="00F636F8">
      <w:pPr>
        <w:spacing w:before="300" w:after="300" w:line="240" w:lineRule="auto"/>
        <w:jc w:val="center"/>
        <w:rPr>
          <w:rFonts w:ascii="Times New Roman" w:hAnsi="Times New Roman" w:cs="Times New Roman"/>
          <w:strike/>
          <w:sz w:val="24"/>
          <w:szCs w:val="24"/>
        </w:rPr>
      </w:pPr>
      <w:r w:rsidRPr="004E3E37">
        <w:rPr>
          <w:rFonts w:ascii="Times New Roman" w:hAnsi="Times New Roman" w:cs="Times New Roman"/>
          <w:strike/>
          <w:sz w:val="24"/>
          <w:szCs w:val="24"/>
        </w:rPr>
        <w:t>DAVI RUMEL</w:t>
      </w:r>
    </w:p>
    <w:p w:rsidR="00F636F8" w:rsidRPr="004E3E37" w:rsidRDefault="00847015" w:rsidP="00F636F8">
      <w:pPr>
        <w:spacing w:before="300" w:after="300" w:line="240" w:lineRule="auto"/>
        <w:jc w:val="center"/>
        <w:rPr>
          <w:rFonts w:ascii="Times New Roman" w:hAnsi="Times New Roman" w:cs="Times New Roman"/>
          <w:b/>
          <w:strike/>
          <w:sz w:val="24"/>
          <w:szCs w:val="24"/>
        </w:rPr>
      </w:pPr>
      <w:r w:rsidRPr="004E3E37">
        <w:rPr>
          <w:rFonts w:ascii="Times New Roman" w:hAnsi="Times New Roman" w:cs="Times New Roman"/>
          <w:b/>
          <w:strike/>
          <w:sz w:val="24"/>
          <w:szCs w:val="24"/>
        </w:rPr>
        <w:t>ANEXO</w:t>
      </w:r>
    </w:p>
    <w:p w:rsidR="00F636F8" w:rsidRPr="004E3E37" w:rsidRDefault="00847015" w:rsidP="00F636F8">
      <w:pPr>
        <w:spacing w:before="300" w:after="300" w:line="240" w:lineRule="auto"/>
        <w:jc w:val="center"/>
        <w:rPr>
          <w:rFonts w:ascii="Times New Roman" w:hAnsi="Times New Roman" w:cs="Times New Roman"/>
          <w:b/>
          <w:strike/>
          <w:sz w:val="24"/>
          <w:szCs w:val="24"/>
        </w:rPr>
      </w:pPr>
      <w:r w:rsidRPr="004E3E37">
        <w:rPr>
          <w:rFonts w:ascii="Times New Roman" w:hAnsi="Times New Roman" w:cs="Times New Roman"/>
          <w:b/>
          <w:strike/>
          <w:sz w:val="24"/>
          <w:szCs w:val="24"/>
        </w:rPr>
        <w:t>GUIA PARA PROVAS DE BIODISPONIBILIDADE RELATIVA/BIOEQUIVALÊNCIA DE MEDICAMENTOS</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Os estudos de biodisponibilidade relativa/bioequivalência deverão contemplar três etapas: clínica, analítica e estatística, e devem ser planejados e apresentados conforme o GUIA PARA ELABORAÇÃO DE PROTOCOLO DE ESTUDO DE BIODISPONIBILIDADE RELATIVA/ BIOEQUIVALÊNCIA e o GUIA PARA ELABORAÇÃO DE RELATÓRIO TÉCNICO DE ESTUDO DE BIODISPONIBILIDADE RELATIVA/BIOEQUIVALÊNCIA, respectivamente.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1. Etapa clínica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a) os medicamentos teste e referência a serem submetidos ao estudo de biodisponibilidade relativa/bioequivalência deverão, inicialmente, ser analisados segundo sua monografia inscrita na </w:t>
      </w:r>
      <w:proofErr w:type="spellStart"/>
      <w:r w:rsidRPr="004E3E37">
        <w:rPr>
          <w:rFonts w:ascii="Times New Roman" w:hAnsi="Times New Roman" w:cs="Times New Roman"/>
          <w:strike/>
          <w:sz w:val="24"/>
          <w:szCs w:val="24"/>
        </w:rPr>
        <w:t>Farmacopéia</w:t>
      </w:r>
      <w:proofErr w:type="spellEnd"/>
      <w:r w:rsidRPr="004E3E37">
        <w:rPr>
          <w:rFonts w:ascii="Times New Roman" w:hAnsi="Times New Roman" w:cs="Times New Roman"/>
          <w:strike/>
          <w:sz w:val="24"/>
          <w:szCs w:val="24"/>
        </w:rPr>
        <w:t xml:space="preserve"> Brasileira e, na falta desta, em outros códigos autorizados pela legislação vigente, seguindo GUIA PARA REALIZAÇÃO DO ESTUDO E ELABORAÇÃO DO RELATÓRIO DE EQUIVALÊNCIA FARMACÊUTICA. A diferença de teor do fármaco entre os medicamentos teste e referência não deve ser superior a 5% (cinco por cento).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 xml:space="preserve">b) o estudo é realizado por meio da quantificação do fármaco e/ou do metabólito ativo na circulação (sangue, plasma ou soro) ou através de sua quantificação na urina, quando justificado. Alternativamente, o estudo poderá ser realizado comparando medidas farmacodinâmicas.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c) em geral, o fármaco inalterado sempre deve ser quantificado. Os metabólitos devem ser quantificados nos casos de limitações analíticas para quantificação do fármaco inalterado, ou quando os mesmos forem ativos, contribuindo de forma significativa para a eficácia e segurança do produto, tendo sido formados, significativamente, por metabolismo </w:t>
      </w:r>
      <w:proofErr w:type="spellStart"/>
      <w:r w:rsidRPr="004E3E37">
        <w:rPr>
          <w:rFonts w:ascii="Times New Roman" w:hAnsi="Times New Roman" w:cs="Times New Roman"/>
          <w:strike/>
          <w:sz w:val="24"/>
          <w:szCs w:val="24"/>
        </w:rPr>
        <w:t>pré</w:t>
      </w:r>
      <w:proofErr w:type="spellEnd"/>
      <w:r w:rsidRPr="004E3E37">
        <w:rPr>
          <w:rFonts w:ascii="Times New Roman" w:hAnsi="Times New Roman" w:cs="Times New Roman"/>
          <w:strike/>
          <w:sz w:val="24"/>
          <w:szCs w:val="24"/>
        </w:rPr>
        <w:t xml:space="preserve">-sistêmico. Nos casos em que se fizer necessária a quantificação do fármaco e </w:t>
      </w:r>
      <w:proofErr w:type="gramStart"/>
      <w:r w:rsidRPr="004E3E37">
        <w:rPr>
          <w:rFonts w:ascii="Times New Roman" w:hAnsi="Times New Roman" w:cs="Times New Roman"/>
          <w:strike/>
          <w:sz w:val="24"/>
          <w:szCs w:val="24"/>
        </w:rPr>
        <w:t>metabólito(</w:t>
      </w:r>
      <w:proofErr w:type="gramEnd"/>
      <w:r w:rsidRPr="004E3E37">
        <w:rPr>
          <w:rFonts w:ascii="Times New Roman" w:hAnsi="Times New Roman" w:cs="Times New Roman"/>
          <w:strike/>
          <w:sz w:val="24"/>
          <w:szCs w:val="24"/>
        </w:rPr>
        <w:t xml:space="preserve">s), ambos devem cumprir os critérios estabelecidos para determinação da bioequivalência.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d) o estudo convencional é do tipo aberto, aleatório, cruzado. Os voluntários recebem os medicamentos teste e referência em ocasiões separadas (períodos), em esquema de dose simples ou múltipla. Pode ser utilizado desenho paralelo quando se fizer necessário.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e) os medicamentos devem ser administrados com volume de líquido padronizado (geralmente 200 </w:t>
      </w:r>
      <w:proofErr w:type="spellStart"/>
      <w:r w:rsidRPr="004E3E37">
        <w:rPr>
          <w:rFonts w:ascii="Times New Roman" w:hAnsi="Times New Roman" w:cs="Times New Roman"/>
          <w:strike/>
          <w:sz w:val="24"/>
          <w:szCs w:val="24"/>
        </w:rPr>
        <w:t>mL</w:t>
      </w:r>
      <w:proofErr w:type="spellEnd"/>
      <w:r w:rsidRPr="004E3E37">
        <w:rPr>
          <w:rFonts w:ascii="Times New Roman" w:hAnsi="Times New Roman" w:cs="Times New Roman"/>
          <w:strike/>
          <w:sz w:val="24"/>
          <w:szCs w:val="24"/>
        </w:rPr>
        <w:t xml:space="preserve"> de água) aos voluntários em jejum.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f) o número de períodos e de </w:t>
      </w:r>
      <w:proofErr w:type="spellStart"/>
      <w:r w:rsidRPr="004E3E37">
        <w:rPr>
          <w:rFonts w:ascii="Times New Roman" w:hAnsi="Times New Roman" w:cs="Times New Roman"/>
          <w:strike/>
          <w:sz w:val="24"/>
          <w:szCs w:val="24"/>
        </w:rPr>
        <w:t>seqüências</w:t>
      </w:r>
      <w:proofErr w:type="spellEnd"/>
      <w:r w:rsidRPr="004E3E37">
        <w:rPr>
          <w:rFonts w:ascii="Times New Roman" w:hAnsi="Times New Roman" w:cs="Times New Roman"/>
          <w:strike/>
          <w:sz w:val="24"/>
          <w:szCs w:val="24"/>
        </w:rPr>
        <w:t xml:space="preserve"> do estudo será determinado em função do número de medicamentos em análise, de forma a assegurar a validade estatística, conforme GUIA PARA PLANEJAMENTO E REALIZAÇÃO DA ETAPA ESTATÍSTICA DE ESTUDOS DE BIODISPONIBILIDADE RELATIVA/BIOEQUIVALÊNCIA. O intervalo entre os períodos deverá ser de, no mínimo, sete meias-vidas de eliminação do fármaco e/ou metabólito.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g) o cronograma de coleta das amostras deverá contemplar um tempo igual ou superior a 3-5 vezes a meia-vida de eliminação do fármaco ou metabólito.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h) o número de voluntários sadios deverá sempre assegurar poder estatístico suficiente para garantir a confiabilidade dos resultados do estudo de bioequivalência. O número de voluntários é calculado por meio do coeficiente de variação e poder do teste (ver GUIA PARA PLANEJAMENTO E REALIZAÇÃO DA ETAPA ESTATÍSTICA DE ESTUDOS DE BIODISPONIBILIDADE RELATIVA/ BIOEQUIVALÊNCIA), não sendo permitida utilização de </w:t>
      </w:r>
      <w:proofErr w:type="spellStart"/>
      <w:r w:rsidRPr="004E3E37">
        <w:rPr>
          <w:rFonts w:ascii="Times New Roman" w:hAnsi="Times New Roman" w:cs="Times New Roman"/>
          <w:strike/>
          <w:sz w:val="24"/>
          <w:szCs w:val="24"/>
        </w:rPr>
        <w:t>nú</w:t>
      </w:r>
      <w:proofErr w:type="spellEnd"/>
      <w:r w:rsidRPr="004E3E37">
        <w:rPr>
          <w:rFonts w:ascii="Times New Roman" w:hAnsi="Times New Roman" w:cs="Times New Roman"/>
          <w:strike/>
          <w:sz w:val="24"/>
          <w:szCs w:val="24"/>
        </w:rPr>
        <w:t>- mero inferior a 12. O protocolo deve estabelecer número suficiente de voluntários no estudo prevendo possíveis “</w:t>
      </w:r>
      <w:proofErr w:type="spellStart"/>
      <w:r w:rsidRPr="004E3E37">
        <w:rPr>
          <w:rFonts w:ascii="Times New Roman" w:hAnsi="Times New Roman" w:cs="Times New Roman"/>
          <w:strike/>
          <w:sz w:val="24"/>
          <w:szCs w:val="24"/>
        </w:rPr>
        <w:t>dropouts</w:t>
      </w:r>
      <w:proofErr w:type="spellEnd"/>
      <w:r w:rsidRPr="004E3E37">
        <w:rPr>
          <w:rFonts w:ascii="Times New Roman" w:hAnsi="Times New Roman" w:cs="Times New Roman"/>
          <w:strike/>
          <w:sz w:val="24"/>
          <w:szCs w:val="24"/>
        </w:rPr>
        <w:t>”.</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i) de acordo com o medicamento, os estudos poderão ser conduzidos em voluntários com idade entre 18 e 50 anos e capazes de fornecer seu consentimento livre e esclarecido, do sexo masculino, feminino ou ambos, sendo que neste último caso, o número de homens e de mulheres deverá ser igual e distribuído igualmente entre as </w:t>
      </w:r>
      <w:proofErr w:type="spellStart"/>
      <w:r w:rsidRPr="004E3E37">
        <w:rPr>
          <w:rFonts w:ascii="Times New Roman" w:hAnsi="Times New Roman" w:cs="Times New Roman"/>
          <w:strike/>
          <w:sz w:val="24"/>
          <w:szCs w:val="24"/>
        </w:rPr>
        <w:t>seqüências</w:t>
      </w:r>
      <w:proofErr w:type="spellEnd"/>
      <w:r w:rsidRPr="004E3E37">
        <w:rPr>
          <w:rFonts w:ascii="Times New Roman" w:hAnsi="Times New Roman" w:cs="Times New Roman"/>
          <w:strike/>
          <w:sz w:val="24"/>
          <w:szCs w:val="24"/>
        </w:rPr>
        <w:t xml:space="preserv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 xml:space="preserve">j) o peso dos voluntários deverá estar em um limite de ± 15% do peso considerado normal para homens e mulheres, </w:t>
      </w:r>
      <w:proofErr w:type="spellStart"/>
      <w:r w:rsidRPr="004E3E37">
        <w:rPr>
          <w:rFonts w:ascii="Times New Roman" w:hAnsi="Times New Roman" w:cs="Times New Roman"/>
          <w:strike/>
          <w:sz w:val="24"/>
          <w:szCs w:val="24"/>
        </w:rPr>
        <w:t>levandose</w:t>
      </w:r>
      <w:proofErr w:type="spellEnd"/>
      <w:r w:rsidRPr="004E3E37">
        <w:rPr>
          <w:rFonts w:ascii="Times New Roman" w:hAnsi="Times New Roman" w:cs="Times New Roman"/>
          <w:strike/>
          <w:sz w:val="24"/>
          <w:szCs w:val="24"/>
        </w:rPr>
        <w:t xml:space="preserve"> em consideração altura e estrutura física.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k) deve-se evitar indivíduos fumantes e com histórico de abuso de álcool ou drogas. Caso sejam incluídos fumantes, os mesmos devem estar identificados.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l) no caso de estudos que necessitem de voluntários com características diferentes das citadas anteriormente, a inclusão dos mesmos deverá ser justificada cientificamente.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m) medicamentos citotóxicos devem ser testados em pacientes voluntários, portadores da patologia para a qual o medicamento é indicado, com seu consentimento livre e esclarecido ou de seu representante legal, em caso de impossibilidade do mesmo.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n) no caso de fármacos que apresentam meia-vida de eliminação longa (superior a 24 horas), poderá ser utilizado um cronograma de coletas alternativo, até 72 horas, que possibilite a determinação da área sob a curva truncada (ASC</w:t>
      </w:r>
      <w:r w:rsidRPr="004E3E37">
        <w:rPr>
          <w:rFonts w:ascii="Times New Roman" w:hAnsi="Times New Roman" w:cs="Times New Roman"/>
          <w:strike/>
          <w:sz w:val="24"/>
          <w:szCs w:val="24"/>
          <w:vertAlign w:val="subscript"/>
        </w:rPr>
        <w:t>0-72</w:t>
      </w:r>
      <w:r w:rsidRPr="004E3E37">
        <w:rPr>
          <w:rFonts w:ascii="Times New Roman" w:hAnsi="Times New Roman" w:cs="Times New Roman"/>
          <w:strike/>
          <w:sz w:val="24"/>
          <w:szCs w:val="24"/>
        </w:rPr>
        <w:t xml:space="preserve">), ou um estudo paralelo.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o) estudos de doses múltiplas não são, geralmente, recomendados, uma vez que estudos de dose única são mais sensíveis a diferenças nas formulações. Entretanto, os estudos de dose múltipla podem ser utilizados nos casos em que, reconhecidamente, os mesmos reduzam a variabilidade </w:t>
      </w:r>
      <w:proofErr w:type="spellStart"/>
      <w:r w:rsidRPr="004E3E37">
        <w:rPr>
          <w:rFonts w:ascii="Times New Roman" w:hAnsi="Times New Roman" w:cs="Times New Roman"/>
          <w:strike/>
          <w:sz w:val="24"/>
          <w:szCs w:val="24"/>
        </w:rPr>
        <w:t>inter-individual</w:t>
      </w:r>
      <w:proofErr w:type="spellEnd"/>
      <w:r w:rsidRPr="004E3E37">
        <w:rPr>
          <w:rFonts w:ascii="Times New Roman" w:hAnsi="Times New Roman" w:cs="Times New Roman"/>
          <w:strike/>
          <w:sz w:val="24"/>
          <w:szCs w:val="24"/>
        </w:rPr>
        <w:t xml:space="preserve"> no processo de absorção do fármaco.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p) devem ser realizados estudos com alimentação para formas de liberação modificada (adicionalmente ao estudo em jejum) e para aqueles medicamentos de liberação imediata para os quais é conhecida a interação com alimentos.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q) estudos que envolvem medida de efeito farmacodinâmico são indicados nos casos em que não é possível quantificar o fármaco na circulação de forma precisa e exata, pois a concentração do mesmo é muita baixa (por exemplo: suspensões oftálmicas, pomadas de ação local, inalatórios de ação local, </w:t>
      </w:r>
      <w:proofErr w:type="spellStart"/>
      <w:r w:rsidRPr="004E3E37">
        <w:rPr>
          <w:rFonts w:ascii="Times New Roman" w:hAnsi="Times New Roman" w:cs="Times New Roman"/>
          <w:strike/>
          <w:sz w:val="24"/>
          <w:szCs w:val="24"/>
        </w:rPr>
        <w:t>etc</w:t>
      </w:r>
      <w:proofErr w:type="spellEnd"/>
      <w:r w:rsidRPr="004E3E37">
        <w:rPr>
          <w:rFonts w:ascii="Times New Roman" w:hAnsi="Times New Roman" w:cs="Times New Roman"/>
          <w:strike/>
          <w:sz w:val="24"/>
          <w:szCs w:val="24"/>
        </w:rPr>
        <w:t xml:space="preserv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r) o investigador deve preencher um formulário de registro de eventos adversos e relacionar os procedimentos adotados para controle ou tratamento dos mesmos.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s) o projeto de pesquisa, o protocolo experimental e o termo de consentimento livre e esclarecido devem ser submetidos e aprovados por um Comitê de Ética em Pesquisa (CEP) credenciado no Comitê Nacional de Ética em Pesquisa (CONEP) do Conselho Nacional de Saúde/MS. Deverá constar no título do projeto o nome do fármaco, a dose por unidade, a forma farmacêutica e nome do fabricante dos medicamentos teste e de referência. Esse título também deverá constar no protocolo experimental, no termo de consentimento livre e esclarecido, bem como no parecer do Comitê de Ética em Pesquisa.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 xml:space="preserve">t) os voluntários participantes dos estudos clínicos, que necessitem de confinamento, deverão permanecer em local apropriado que atenda às Boas Práticas de Clínica (BPC), sob a responsabilidade de um médico.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u) nos casos em que seja necessário transportar as amostras biológicas (plasma, soro ou urina) deve-se seguir o procedimento de boas práticas de laboratório para preservar as características do material a ser analisado. Utilizar embalagem apropriada (certificada) de acondicionamento e transporte. A temperatura da amostra biológica deverá ser registrada com aparelho calibrado para garantir a manutenção da estabilidade durante o período de transporte.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v) devem ser relatados e justificados todos os desvios de protocolo.</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 2. Etapa analítica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a) todas as etapas do estudo deverão ser realizadas de acordo com as normas internacionais de Boas Práticas de Laboratório (BPL);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b) o método </w:t>
      </w:r>
      <w:proofErr w:type="spellStart"/>
      <w:r w:rsidRPr="004E3E37">
        <w:rPr>
          <w:rFonts w:ascii="Times New Roman" w:hAnsi="Times New Roman" w:cs="Times New Roman"/>
          <w:strike/>
          <w:sz w:val="24"/>
          <w:szCs w:val="24"/>
        </w:rPr>
        <w:t>bioanalítico</w:t>
      </w:r>
      <w:proofErr w:type="spellEnd"/>
      <w:r w:rsidRPr="004E3E37">
        <w:rPr>
          <w:rFonts w:ascii="Times New Roman" w:hAnsi="Times New Roman" w:cs="Times New Roman"/>
          <w:strike/>
          <w:sz w:val="24"/>
          <w:szCs w:val="24"/>
        </w:rPr>
        <w:t xml:space="preserve">, cromatográfico ou outro, empregado para quantificação do fármaco em líquido biológico, deve ser descrito detalhadamente na forma de protocolo ou procedimento operacional padrão (POP) e deve ser validado para sua aplicação, conforme o GUIA PARA VALIDAÇÃO DE MÉTODOS ANALÍTICOS E BIOANALÍTICOS. </w:t>
      </w:r>
      <w:proofErr w:type="spellStart"/>
      <w:r w:rsidRPr="004E3E37">
        <w:rPr>
          <w:rFonts w:ascii="Times New Roman" w:hAnsi="Times New Roman" w:cs="Times New Roman"/>
          <w:strike/>
          <w:sz w:val="24"/>
          <w:szCs w:val="24"/>
        </w:rPr>
        <w:t>È</w:t>
      </w:r>
      <w:proofErr w:type="spellEnd"/>
      <w:r w:rsidRPr="004E3E37">
        <w:rPr>
          <w:rFonts w:ascii="Times New Roman" w:hAnsi="Times New Roman" w:cs="Times New Roman"/>
          <w:strike/>
          <w:sz w:val="24"/>
          <w:szCs w:val="24"/>
        </w:rPr>
        <w:t xml:space="preserve"> recomendável o uso de métodos cromatográficos;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c) a relação entre a concentração do </w:t>
      </w:r>
      <w:proofErr w:type="spellStart"/>
      <w:r w:rsidRPr="004E3E37">
        <w:rPr>
          <w:rFonts w:ascii="Times New Roman" w:hAnsi="Times New Roman" w:cs="Times New Roman"/>
          <w:strike/>
          <w:sz w:val="24"/>
          <w:szCs w:val="24"/>
        </w:rPr>
        <w:t>analito</w:t>
      </w:r>
      <w:proofErr w:type="spellEnd"/>
      <w:r w:rsidRPr="004E3E37">
        <w:rPr>
          <w:rFonts w:ascii="Times New Roman" w:hAnsi="Times New Roman" w:cs="Times New Roman"/>
          <w:strike/>
          <w:sz w:val="24"/>
          <w:szCs w:val="24"/>
        </w:rPr>
        <w:t xml:space="preserve"> e a resposta proveniente do método </w:t>
      </w:r>
      <w:proofErr w:type="spellStart"/>
      <w:r w:rsidRPr="004E3E37">
        <w:rPr>
          <w:rFonts w:ascii="Times New Roman" w:hAnsi="Times New Roman" w:cs="Times New Roman"/>
          <w:strike/>
          <w:sz w:val="24"/>
          <w:szCs w:val="24"/>
        </w:rPr>
        <w:t>bioanalítico</w:t>
      </w:r>
      <w:proofErr w:type="spellEnd"/>
      <w:r w:rsidRPr="004E3E37">
        <w:rPr>
          <w:rFonts w:ascii="Times New Roman" w:hAnsi="Times New Roman" w:cs="Times New Roman"/>
          <w:strike/>
          <w:sz w:val="24"/>
          <w:szCs w:val="24"/>
        </w:rPr>
        <w:t xml:space="preserve"> deve apresentar reprodutibilidade e ser definida adequadamente, empregando-se número suficiente de padrões para a construção da curva de calibração;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d) devem ser realizados estudos de estabilidade do </w:t>
      </w:r>
      <w:proofErr w:type="spellStart"/>
      <w:r w:rsidRPr="004E3E37">
        <w:rPr>
          <w:rFonts w:ascii="Times New Roman" w:hAnsi="Times New Roman" w:cs="Times New Roman"/>
          <w:strike/>
          <w:sz w:val="24"/>
          <w:szCs w:val="24"/>
        </w:rPr>
        <w:t>analito</w:t>
      </w:r>
      <w:proofErr w:type="spellEnd"/>
      <w:r w:rsidRPr="004E3E37">
        <w:rPr>
          <w:rFonts w:ascii="Times New Roman" w:hAnsi="Times New Roman" w:cs="Times New Roman"/>
          <w:strike/>
          <w:sz w:val="24"/>
          <w:szCs w:val="24"/>
        </w:rPr>
        <w:t xml:space="preserve"> (fármaco ou metabólito) nos líquidos biológicos, conforme GUIA PARA VALIDAÇÃO DE MÉTODOS ANALÍTICOS E BIOANALÍTICOS;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e) o protocolo analítico deverá conter os critérios para reanálise das amostras; não mais do que 20% das amostras poderão ser reanalisadas;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f) deve-se justificar qualquer perda de amostra;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g) a análise das amostras poderá ser efetuada nas seguintes condições: sem réplica, em duplicata ou triplicata. Para análise de amostras em duplicata ou triplicata, os critérios de aceitação dos resultados devem ser descritos no POP;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h) todas as determinações com valores menores do que o Limite Inferior de Quantificação (LIQ), deverão ser consideradas iguais a zero, para os cálculos estatísticos;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i) o protocolo analítico deverá conter os critérios de reintegração de dados da amostra;</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j) devem ser relatados e justificados todos os desvios de protocolo.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 Etapa estatística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 Metodologia geral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3.1.1. </w:t>
      </w:r>
      <w:proofErr w:type="gramStart"/>
      <w:r w:rsidRPr="004E3E37">
        <w:rPr>
          <w:rFonts w:ascii="Times New Roman" w:hAnsi="Times New Roman" w:cs="Times New Roman"/>
          <w:strike/>
          <w:sz w:val="24"/>
          <w:szCs w:val="24"/>
        </w:rPr>
        <w:t>os</w:t>
      </w:r>
      <w:proofErr w:type="gramEnd"/>
      <w:r w:rsidRPr="004E3E37">
        <w:rPr>
          <w:rFonts w:ascii="Times New Roman" w:hAnsi="Times New Roman" w:cs="Times New Roman"/>
          <w:strike/>
          <w:sz w:val="24"/>
          <w:szCs w:val="24"/>
        </w:rPr>
        <w:t xml:space="preserve"> parâmetros farmacocinéticos serão obtidos das curvas de concentração </w:t>
      </w:r>
      <w:proofErr w:type="spellStart"/>
      <w:r w:rsidRPr="004E3E37">
        <w:rPr>
          <w:rFonts w:ascii="Times New Roman" w:hAnsi="Times New Roman" w:cs="Times New Roman"/>
          <w:strike/>
          <w:sz w:val="24"/>
          <w:szCs w:val="24"/>
        </w:rPr>
        <w:t>sangüínea</w:t>
      </w:r>
      <w:proofErr w:type="spellEnd"/>
      <w:r w:rsidRPr="004E3E37">
        <w:rPr>
          <w:rFonts w:ascii="Times New Roman" w:hAnsi="Times New Roman" w:cs="Times New Roman"/>
          <w:strike/>
          <w:sz w:val="24"/>
          <w:szCs w:val="24"/>
        </w:rPr>
        <w:t xml:space="preserve"> do fármaco versus tempo, e analisados estatisticamente para determinação da bioequivalência.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 </w:t>
      </w:r>
      <w:proofErr w:type="gramStart"/>
      <w:r w:rsidRPr="004E3E37">
        <w:rPr>
          <w:rFonts w:ascii="Times New Roman" w:hAnsi="Times New Roman" w:cs="Times New Roman"/>
          <w:strike/>
          <w:sz w:val="24"/>
          <w:szCs w:val="24"/>
        </w:rPr>
        <w:t>os</w:t>
      </w:r>
      <w:proofErr w:type="gramEnd"/>
      <w:r w:rsidRPr="004E3E37">
        <w:rPr>
          <w:rFonts w:ascii="Times New Roman" w:hAnsi="Times New Roman" w:cs="Times New Roman"/>
          <w:strike/>
          <w:sz w:val="24"/>
          <w:szCs w:val="24"/>
        </w:rPr>
        <w:t xml:space="preserve"> seguintes parâmetros farmacocinéticos devem ser determinados: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3.1.2.1. </w:t>
      </w:r>
      <w:proofErr w:type="gramStart"/>
      <w:r w:rsidRPr="004E3E37">
        <w:rPr>
          <w:rFonts w:ascii="Times New Roman" w:hAnsi="Times New Roman" w:cs="Times New Roman"/>
          <w:strike/>
          <w:sz w:val="24"/>
          <w:szCs w:val="24"/>
        </w:rPr>
        <w:t>a</w:t>
      </w:r>
      <w:proofErr w:type="gramEnd"/>
      <w:r w:rsidRPr="004E3E37">
        <w:rPr>
          <w:rFonts w:ascii="Times New Roman" w:hAnsi="Times New Roman" w:cs="Times New Roman"/>
          <w:strike/>
          <w:sz w:val="24"/>
          <w:szCs w:val="24"/>
        </w:rPr>
        <w:t xml:space="preserve"> área sob a curva de concentração </w:t>
      </w:r>
      <w:proofErr w:type="spellStart"/>
      <w:r w:rsidRPr="004E3E37">
        <w:rPr>
          <w:rFonts w:ascii="Times New Roman" w:hAnsi="Times New Roman" w:cs="Times New Roman"/>
          <w:strike/>
          <w:sz w:val="24"/>
          <w:szCs w:val="24"/>
        </w:rPr>
        <w:t>sangüínea</w:t>
      </w:r>
      <w:proofErr w:type="spellEnd"/>
      <w:r w:rsidRPr="004E3E37">
        <w:rPr>
          <w:rFonts w:ascii="Times New Roman" w:hAnsi="Times New Roman" w:cs="Times New Roman"/>
          <w:strike/>
          <w:sz w:val="24"/>
          <w:szCs w:val="24"/>
        </w:rPr>
        <w:t xml:space="preserve"> versus tempo, calculada pelo método dos </w:t>
      </w:r>
      <w:proofErr w:type="spellStart"/>
      <w:r w:rsidRPr="004E3E37">
        <w:rPr>
          <w:rFonts w:ascii="Times New Roman" w:hAnsi="Times New Roman" w:cs="Times New Roman"/>
          <w:strike/>
          <w:sz w:val="24"/>
          <w:szCs w:val="24"/>
        </w:rPr>
        <w:t>trapezóides</w:t>
      </w:r>
      <w:proofErr w:type="spellEnd"/>
      <w:r w:rsidRPr="004E3E37">
        <w:rPr>
          <w:rFonts w:ascii="Times New Roman" w:hAnsi="Times New Roman" w:cs="Times New Roman"/>
          <w:strike/>
          <w:sz w:val="24"/>
          <w:szCs w:val="24"/>
        </w:rPr>
        <w:t>, do tempo zero ao tempo t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onde t é o tempo relativo à última concentração determinada experimentalmente;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3.1.2.2. </w:t>
      </w:r>
      <w:proofErr w:type="gramStart"/>
      <w:r w:rsidRPr="004E3E37">
        <w:rPr>
          <w:rFonts w:ascii="Times New Roman" w:hAnsi="Times New Roman" w:cs="Times New Roman"/>
          <w:strike/>
          <w:sz w:val="24"/>
          <w:szCs w:val="24"/>
        </w:rPr>
        <w:t>a</w:t>
      </w:r>
      <w:proofErr w:type="gramEnd"/>
      <w:r w:rsidRPr="004E3E37">
        <w:rPr>
          <w:rFonts w:ascii="Times New Roman" w:hAnsi="Times New Roman" w:cs="Times New Roman"/>
          <w:strike/>
          <w:sz w:val="24"/>
          <w:szCs w:val="24"/>
        </w:rPr>
        <w:t xml:space="preserve"> área sob a curva de concentração </w:t>
      </w:r>
      <w:proofErr w:type="spellStart"/>
      <w:r w:rsidRPr="004E3E37">
        <w:rPr>
          <w:rFonts w:ascii="Times New Roman" w:hAnsi="Times New Roman" w:cs="Times New Roman"/>
          <w:strike/>
          <w:sz w:val="24"/>
          <w:szCs w:val="24"/>
        </w:rPr>
        <w:t>sangüínea</w:t>
      </w:r>
      <w:proofErr w:type="spellEnd"/>
      <w:r w:rsidRPr="004E3E37">
        <w:rPr>
          <w:rFonts w:ascii="Times New Roman" w:hAnsi="Times New Roman" w:cs="Times New Roman"/>
          <w:strike/>
          <w:sz w:val="24"/>
          <w:szCs w:val="24"/>
        </w:rPr>
        <w:t xml:space="preserve"> versus tempo, calculada do tempo zero ao tempo infinito (ASC</w:t>
      </w:r>
      <w:r w:rsidRPr="004E3E37">
        <w:rPr>
          <w:rFonts w:ascii="Times New Roman" w:hAnsi="Times New Roman" w:cs="Times New Roman"/>
          <w:strike/>
          <w:sz w:val="24"/>
          <w:szCs w:val="24"/>
          <w:vertAlign w:val="subscript"/>
        </w:rPr>
        <w:t>0-inf</w:t>
      </w:r>
      <w:r w:rsidRPr="004E3E37">
        <w:rPr>
          <w:rFonts w:ascii="Times New Roman" w:hAnsi="Times New Roman" w:cs="Times New Roman"/>
          <w:strike/>
          <w:sz w:val="24"/>
          <w:szCs w:val="24"/>
        </w:rPr>
        <w:t>), onde ASC</w:t>
      </w:r>
      <w:r w:rsidRPr="004E3E37">
        <w:rPr>
          <w:rFonts w:ascii="Times New Roman" w:hAnsi="Times New Roman" w:cs="Times New Roman"/>
          <w:strike/>
          <w:sz w:val="24"/>
          <w:szCs w:val="24"/>
          <w:vertAlign w:val="subscript"/>
        </w:rPr>
        <w:t>0-inf</w:t>
      </w:r>
      <w:r w:rsidRPr="004E3E37">
        <w:rPr>
          <w:rFonts w:ascii="Times New Roman" w:hAnsi="Times New Roman" w:cs="Times New Roman"/>
          <w:strike/>
          <w:sz w:val="24"/>
          <w:szCs w:val="24"/>
        </w:rPr>
        <w:t xml:space="preserve"> =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t</w:t>
      </w:r>
      <w:proofErr w:type="spellEnd"/>
      <w:r w:rsidRPr="004E3E37">
        <w:rPr>
          <w:rFonts w:ascii="Times New Roman" w:hAnsi="Times New Roman" w:cs="Times New Roman"/>
          <w:strike/>
          <w:sz w:val="24"/>
          <w:szCs w:val="24"/>
          <w:vertAlign w:val="subscript"/>
        </w:rPr>
        <w:t>/</w:t>
      </w:r>
      <w:proofErr w:type="spellStart"/>
      <w:r w:rsidRPr="004E3E37">
        <w:rPr>
          <w:rFonts w:ascii="Times New Roman" w:hAnsi="Times New Roman" w:cs="Times New Roman"/>
          <w:strike/>
          <w:sz w:val="24"/>
          <w:szCs w:val="24"/>
          <w:vertAlign w:val="subscript"/>
        </w:rPr>
        <w:t>lz</w:t>
      </w:r>
      <w:proofErr w:type="spellEnd"/>
      <w:r w:rsidRPr="004E3E37">
        <w:rPr>
          <w:rFonts w:ascii="Times New Roman" w:hAnsi="Times New Roman" w:cs="Times New Roman"/>
          <w:strike/>
          <w:sz w:val="24"/>
          <w:szCs w:val="24"/>
        </w:rPr>
        <w:t xml:space="preserve">, onde </w:t>
      </w:r>
      <w:proofErr w:type="spellStart"/>
      <w:r w:rsidRPr="004E3E37">
        <w:rPr>
          <w:rFonts w:ascii="Times New Roman" w:hAnsi="Times New Roman" w:cs="Times New Roman"/>
          <w:strike/>
          <w:sz w:val="24"/>
          <w:szCs w:val="24"/>
        </w:rPr>
        <w:t>Ct</w:t>
      </w:r>
      <w:proofErr w:type="spellEnd"/>
      <w:r w:rsidRPr="004E3E37">
        <w:rPr>
          <w:rFonts w:ascii="Times New Roman" w:hAnsi="Times New Roman" w:cs="Times New Roman"/>
          <w:strike/>
          <w:sz w:val="24"/>
          <w:szCs w:val="24"/>
        </w:rPr>
        <w:t xml:space="preserve"> é a última concentração do fármaco determinada experimentalmente e </w:t>
      </w:r>
      <w:proofErr w:type="spellStart"/>
      <w:r w:rsidRPr="004E3E37">
        <w:rPr>
          <w:rFonts w:ascii="Times New Roman" w:hAnsi="Times New Roman" w:cs="Times New Roman"/>
          <w:strike/>
          <w:sz w:val="24"/>
          <w:szCs w:val="24"/>
        </w:rPr>
        <w:t>lz</w:t>
      </w:r>
      <w:proofErr w:type="spellEnd"/>
      <w:r w:rsidRPr="004E3E37">
        <w:rPr>
          <w:rFonts w:ascii="Times New Roman" w:hAnsi="Times New Roman" w:cs="Times New Roman"/>
          <w:strike/>
          <w:sz w:val="24"/>
          <w:szCs w:val="24"/>
        </w:rPr>
        <w:t xml:space="preserve"> é a constante de eliminação da fase terminal. A ASC</w:t>
      </w:r>
      <w:r w:rsidRPr="004E3E37">
        <w:rPr>
          <w:rFonts w:ascii="Times New Roman" w:hAnsi="Times New Roman" w:cs="Times New Roman"/>
          <w:strike/>
          <w:sz w:val="24"/>
          <w:szCs w:val="24"/>
          <w:vertAlign w:val="subscript"/>
        </w:rPr>
        <w:t>0-</w:t>
      </w:r>
      <w:proofErr w:type="gramStart"/>
      <w:r w:rsidRPr="004E3E37">
        <w:rPr>
          <w:rFonts w:ascii="Times New Roman" w:hAnsi="Times New Roman" w:cs="Times New Roman"/>
          <w:strike/>
          <w:sz w:val="24"/>
          <w:szCs w:val="24"/>
          <w:vertAlign w:val="subscript"/>
        </w:rPr>
        <w:t>t</w:t>
      </w:r>
      <w:proofErr w:type="gramEnd"/>
      <w:r w:rsidRPr="004E3E37">
        <w:rPr>
          <w:rFonts w:ascii="Times New Roman" w:hAnsi="Times New Roman" w:cs="Times New Roman"/>
          <w:strike/>
          <w:sz w:val="24"/>
          <w:szCs w:val="24"/>
        </w:rPr>
        <w:t xml:space="preserve"> deve ser igual ou superior a 80% da ASC</w:t>
      </w:r>
      <w:r w:rsidRPr="004E3E37">
        <w:rPr>
          <w:rFonts w:ascii="Times New Roman" w:hAnsi="Times New Roman" w:cs="Times New Roman"/>
          <w:strike/>
          <w:sz w:val="24"/>
          <w:szCs w:val="24"/>
          <w:vertAlign w:val="subscript"/>
        </w:rPr>
        <w:t>0-inf</w:t>
      </w:r>
      <w:r w:rsidRPr="004E3E37">
        <w:rPr>
          <w:rFonts w:ascii="Times New Roman" w:hAnsi="Times New Roman" w:cs="Times New Roman"/>
          <w:strike/>
          <w:sz w:val="24"/>
          <w:szCs w:val="24"/>
        </w:rPr>
        <w:t xml:space="preserve">, exceto nos casos em que se utiliza ASC truncada;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3.1.2.3. </w:t>
      </w:r>
      <w:proofErr w:type="gramStart"/>
      <w:r w:rsidRPr="004E3E37">
        <w:rPr>
          <w:rFonts w:ascii="Times New Roman" w:hAnsi="Times New Roman" w:cs="Times New Roman"/>
          <w:strike/>
          <w:sz w:val="24"/>
          <w:szCs w:val="24"/>
        </w:rPr>
        <w:t>o</w:t>
      </w:r>
      <w:proofErr w:type="gramEnd"/>
      <w:r w:rsidRPr="004E3E37">
        <w:rPr>
          <w:rFonts w:ascii="Times New Roman" w:hAnsi="Times New Roman" w:cs="Times New Roman"/>
          <w:strike/>
          <w:sz w:val="24"/>
          <w:szCs w:val="24"/>
        </w:rPr>
        <w:t xml:space="preserve"> pico de concentração máxima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do fármaco e/ou metabólito e o tempo para atingir este pico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devem ser obtidos diretamente sem interpolação dos dados;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3.1.2.4. </w:t>
      </w:r>
      <w:proofErr w:type="gramStart"/>
      <w:r w:rsidRPr="004E3E37">
        <w:rPr>
          <w:rFonts w:ascii="Times New Roman" w:hAnsi="Times New Roman" w:cs="Times New Roman"/>
          <w:strike/>
          <w:sz w:val="24"/>
          <w:szCs w:val="24"/>
        </w:rPr>
        <w:t>a</w:t>
      </w:r>
      <w:proofErr w:type="gramEnd"/>
      <w:r w:rsidRPr="004E3E37">
        <w:rPr>
          <w:rFonts w:ascii="Times New Roman" w:hAnsi="Times New Roman" w:cs="Times New Roman"/>
          <w:strike/>
          <w:sz w:val="24"/>
          <w:szCs w:val="24"/>
        </w:rPr>
        <w:t xml:space="preserve"> depuração (D), o volume aparente de distribuição (</w:t>
      </w:r>
      <w:proofErr w:type="spellStart"/>
      <w:r w:rsidRPr="004E3E37">
        <w:rPr>
          <w:rFonts w:ascii="Times New Roman" w:hAnsi="Times New Roman" w:cs="Times New Roman"/>
          <w:strike/>
          <w:sz w:val="24"/>
          <w:szCs w:val="24"/>
        </w:rPr>
        <w:t>Vd</w:t>
      </w:r>
      <w:proofErr w:type="spellEnd"/>
      <w:r w:rsidRPr="004E3E37">
        <w:rPr>
          <w:rFonts w:ascii="Times New Roman" w:hAnsi="Times New Roman" w:cs="Times New Roman"/>
          <w:strike/>
          <w:sz w:val="24"/>
          <w:szCs w:val="24"/>
        </w:rPr>
        <w:t xml:space="preserve">) e a meia-vida de eliminação (t1/2) do fármaco e/ou metabólito também devem ser determinados, embora não haja necessidade de tratamento estatístico;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3.1.2.5. </w:t>
      </w:r>
      <w:proofErr w:type="gramStart"/>
      <w:r w:rsidRPr="004E3E37">
        <w:rPr>
          <w:rFonts w:ascii="Times New Roman" w:hAnsi="Times New Roman" w:cs="Times New Roman"/>
          <w:strike/>
          <w:sz w:val="24"/>
          <w:szCs w:val="24"/>
        </w:rPr>
        <w:t>para</w:t>
      </w:r>
      <w:proofErr w:type="gramEnd"/>
      <w:r w:rsidRPr="004E3E37">
        <w:rPr>
          <w:rFonts w:ascii="Times New Roman" w:hAnsi="Times New Roman" w:cs="Times New Roman"/>
          <w:strike/>
          <w:sz w:val="24"/>
          <w:szCs w:val="24"/>
        </w:rPr>
        <w:t xml:space="preserve"> estudos que empregam doses múltiplas devem ser determinados os seguintes parâmetros: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a)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calculado no intervalo de dose (t) no estado de equilíbrio; </w:t>
      </w:r>
    </w:p>
    <w:p w:rsidR="00F636F8"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b)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obtidos sem interpolação de dados; concentração mínima do fármaco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min</w:t>
      </w:r>
      <w:proofErr w:type="spellEnd"/>
      <w:r w:rsidRPr="004E3E37">
        <w:rPr>
          <w:rFonts w:ascii="Times New Roman" w:hAnsi="Times New Roman" w:cs="Times New Roman"/>
          <w:strike/>
          <w:sz w:val="24"/>
          <w:szCs w:val="24"/>
        </w:rPr>
        <w:t xml:space="preserve">), determinada no final de cada intervalo de dose do estado de equilíbrio;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c) concentração média do fármaco no estado de equilíbrio (C* =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/τ);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d) grau de flutuação no estado de equilíbrio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 xml:space="preserve">3.1.2.6. </w:t>
      </w:r>
      <w:proofErr w:type="gramStart"/>
      <w:r w:rsidRPr="004E3E37">
        <w:rPr>
          <w:rFonts w:ascii="Times New Roman" w:hAnsi="Times New Roman" w:cs="Times New Roman"/>
          <w:strike/>
          <w:sz w:val="24"/>
          <w:szCs w:val="24"/>
        </w:rPr>
        <w:t>para</w:t>
      </w:r>
      <w:proofErr w:type="gramEnd"/>
      <w:r w:rsidRPr="004E3E37">
        <w:rPr>
          <w:rFonts w:ascii="Times New Roman" w:hAnsi="Times New Roman" w:cs="Times New Roman"/>
          <w:strike/>
          <w:sz w:val="24"/>
          <w:szCs w:val="24"/>
        </w:rPr>
        <w:t xml:space="preserve"> avaliação da bioequivalência devem ser empregados os parâmetros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w:t>
      </w:r>
      <w:bookmarkStart w:id="0" w:name="_GoBack"/>
      <w:bookmarkEnd w:id="0"/>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3.1.2.7. </w:t>
      </w:r>
      <w:proofErr w:type="gramStart"/>
      <w:r w:rsidRPr="004E3E37">
        <w:rPr>
          <w:rFonts w:ascii="Times New Roman" w:hAnsi="Times New Roman" w:cs="Times New Roman"/>
          <w:strike/>
          <w:sz w:val="24"/>
          <w:szCs w:val="24"/>
        </w:rPr>
        <w:t>no</w:t>
      </w:r>
      <w:proofErr w:type="gramEnd"/>
      <w:r w:rsidRPr="004E3E37">
        <w:rPr>
          <w:rFonts w:ascii="Times New Roman" w:hAnsi="Times New Roman" w:cs="Times New Roman"/>
          <w:strike/>
          <w:sz w:val="24"/>
          <w:szCs w:val="24"/>
        </w:rPr>
        <w:t xml:space="preserve"> caso de estudos com doses múltiplas deve-se comprovar que o estado de equilíbrio foi alcançado após a administração dos medicamentos teste e referência;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3.1.3. </w:t>
      </w:r>
      <w:proofErr w:type="gramStart"/>
      <w:r w:rsidRPr="004E3E37">
        <w:rPr>
          <w:rFonts w:ascii="Times New Roman" w:hAnsi="Times New Roman" w:cs="Times New Roman"/>
          <w:strike/>
          <w:sz w:val="24"/>
          <w:szCs w:val="24"/>
        </w:rPr>
        <w:t>não</w:t>
      </w:r>
      <w:proofErr w:type="gramEnd"/>
      <w:r w:rsidRPr="004E3E37">
        <w:rPr>
          <w:rFonts w:ascii="Times New Roman" w:hAnsi="Times New Roman" w:cs="Times New Roman"/>
          <w:strike/>
          <w:sz w:val="24"/>
          <w:szCs w:val="24"/>
        </w:rPr>
        <w:t xml:space="preserve"> será aceita a exclusão de mais de 5% dos voluntários do estudo ou a falta de mais de 10% dos valores das concentrações </w:t>
      </w:r>
      <w:proofErr w:type="spellStart"/>
      <w:r w:rsidRPr="004E3E37">
        <w:rPr>
          <w:rFonts w:ascii="Times New Roman" w:hAnsi="Times New Roman" w:cs="Times New Roman"/>
          <w:strike/>
          <w:sz w:val="24"/>
          <w:szCs w:val="24"/>
        </w:rPr>
        <w:t>sangüíneas</w:t>
      </w:r>
      <w:proofErr w:type="spellEnd"/>
      <w:r w:rsidRPr="004E3E37">
        <w:rPr>
          <w:rFonts w:ascii="Times New Roman" w:hAnsi="Times New Roman" w:cs="Times New Roman"/>
          <w:strike/>
          <w:sz w:val="24"/>
          <w:szCs w:val="24"/>
        </w:rPr>
        <w:t xml:space="preserve"> do fármaco provenientes da administração de cada medicamento por voluntário.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3.2. </w:t>
      </w:r>
      <w:proofErr w:type="gramStart"/>
      <w:r w:rsidRPr="004E3E37">
        <w:rPr>
          <w:rFonts w:ascii="Times New Roman" w:hAnsi="Times New Roman" w:cs="Times New Roman"/>
          <w:strike/>
          <w:sz w:val="24"/>
          <w:szCs w:val="24"/>
        </w:rPr>
        <w:t>análise</w:t>
      </w:r>
      <w:proofErr w:type="gramEnd"/>
      <w:r w:rsidRPr="004E3E37">
        <w:rPr>
          <w:rFonts w:ascii="Times New Roman" w:hAnsi="Times New Roman" w:cs="Times New Roman"/>
          <w:strike/>
          <w:sz w:val="24"/>
          <w:szCs w:val="24"/>
        </w:rPr>
        <w:t xml:space="preserve"> estatística (ver GUIA PARA PLANEJAMENTO E EXECUÇÃO DA ETAPA ESTATÍSTICA DE ESTUDOS DE BIODISPONIBILIDADE RELATIVA/ BIOEQUIVALÊNCIA)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a) deve-se apresentar tabela contendo valores individuais, médias (aritmética e geométrica), desvio padrão e coeficiente de variação de todos os parâmetros farmacocinéticos relacionados à administração dos medicamentos teste e referência;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b) recomenda-se que os parâmetros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sejam transformados em logaritmo natural, uma vez que, em geral, a distribuição dos dados transformados se aproxima mais a uma distribuição normal em relação aos dados originais. Deve-se apresentar justificativas nos casos em que optar-se por realizar a análise estatística nos dados em escala original; </w:t>
      </w:r>
    </w:p>
    <w:p w:rsidR="00C97263"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c) deve-se realizar análise de variância (ANOVA) dos parâmetros farmacocinéticos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transformados para avaliar os efeitos de </w:t>
      </w:r>
      <w:proofErr w:type="spellStart"/>
      <w:r w:rsidRPr="004E3E37">
        <w:rPr>
          <w:rFonts w:ascii="Times New Roman" w:hAnsi="Times New Roman" w:cs="Times New Roman"/>
          <w:strike/>
          <w:sz w:val="24"/>
          <w:szCs w:val="24"/>
        </w:rPr>
        <w:t>seqüência</w:t>
      </w:r>
      <w:proofErr w:type="spellEnd"/>
      <w:r w:rsidRPr="004E3E37">
        <w:rPr>
          <w:rFonts w:ascii="Times New Roman" w:hAnsi="Times New Roman" w:cs="Times New Roman"/>
          <w:strike/>
          <w:sz w:val="24"/>
          <w:szCs w:val="24"/>
        </w:rPr>
        <w:t xml:space="preserve">, de voluntário dentro da </w:t>
      </w:r>
      <w:proofErr w:type="spellStart"/>
      <w:r w:rsidRPr="004E3E37">
        <w:rPr>
          <w:rFonts w:ascii="Times New Roman" w:hAnsi="Times New Roman" w:cs="Times New Roman"/>
          <w:strike/>
          <w:sz w:val="24"/>
          <w:szCs w:val="24"/>
        </w:rPr>
        <w:t>seqüência</w:t>
      </w:r>
      <w:proofErr w:type="spellEnd"/>
      <w:r w:rsidRPr="004E3E37">
        <w:rPr>
          <w:rFonts w:ascii="Times New Roman" w:hAnsi="Times New Roman" w:cs="Times New Roman"/>
          <w:strike/>
          <w:sz w:val="24"/>
          <w:szCs w:val="24"/>
        </w:rPr>
        <w:t xml:space="preserve">, período e tratamento. Além disso, deve-se apresentar tabela de ANOVA contendo fonte, grau de liberdade, soma dos quadrados, quadrado médio, estatística F, valor de p e os coeficientes de variação </w:t>
      </w:r>
      <w:proofErr w:type="spellStart"/>
      <w:r w:rsidRPr="004E3E37">
        <w:rPr>
          <w:rFonts w:ascii="Times New Roman" w:hAnsi="Times New Roman" w:cs="Times New Roman"/>
          <w:strike/>
          <w:sz w:val="24"/>
          <w:szCs w:val="24"/>
        </w:rPr>
        <w:t>intra</w:t>
      </w:r>
      <w:proofErr w:type="spellEnd"/>
      <w:r w:rsidRPr="004E3E37">
        <w:rPr>
          <w:rFonts w:ascii="Times New Roman" w:hAnsi="Times New Roman" w:cs="Times New Roman"/>
          <w:strike/>
          <w:sz w:val="24"/>
          <w:szCs w:val="24"/>
        </w:rPr>
        <w:t xml:space="preserve"> e </w:t>
      </w:r>
      <w:proofErr w:type="spellStart"/>
      <w:proofErr w:type="gramStart"/>
      <w:r w:rsidRPr="004E3E37">
        <w:rPr>
          <w:rFonts w:ascii="Times New Roman" w:hAnsi="Times New Roman" w:cs="Times New Roman"/>
          <w:strike/>
          <w:sz w:val="24"/>
          <w:szCs w:val="24"/>
        </w:rPr>
        <w:t>inter</w:t>
      </w:r>
      <w:proofErr w:type="spellEnd"/>
      <w:r w:rsidRPr="004E3E37">
        <w:rPr>
          <w:rFonts w:ascii="Times New Roman" w:hAnsi="Times New Roman" w:cs="Times New Roman"/>
          <w:strike/>
          <w:sz w:val="24"/>
          <w:szCs w:val="24"/>
        </w:rPr>
        <w:t xml:space="preserve"> individuais</w:t>
      </w:r>
      <w:proofErr w:type="gramEnd"/>
      <w:r w:rsidRPr="004E3E37">
        <w:rPr>
          <w:rFonts w:ascii="Times New Roman" w:hAnsi="Times New Roman" w:cs="Times New Roman"/>
          <w:strike/>
          <w:sz w:val="24"/>
          <w:szCs w:val="24"/>
        </w:rPr>
        <w:t xml:space="preserve">;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d) deve-se construir um intervalo de confiança (IC) de 90% para a diferença das médias dos dados transformados dos medicamentos teste e referência, para os parâmetros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O </w:t>
      </w:r>
      <w:proofErr w:type="spellStart"/>
      <w:r w:rsidRPr="004E3E37">
        <w:rPr>
          <w:rFonts w:ascii="Times New Roman" w:hAnsi="Times New Roman" w:cs="Times New Roman"/>
          <w:strike/>
          <w:sz w:val="24"/>
          <w:szCs w:val="24"/>
        </w:rPr>
        <w:t>antilogarítmo</w:t>
      </w:r>
      <w:proofErr w:type="spellEnd"/>
      <w:r w:rsidRPr="004E3E37">
        <w:rPr>
          <w:rFonts w:ascii="Times New Roman" w:hAnsi="Times New Roman" w:cs="Times New Roman"/>
          <w:strike/>
          <w:sz w:val="24"/>
          <w:szCs w:val="24"/>
        </w:rPr>
        <w:t xml:space="preserve"> do IC obtido constitui o IC de 90% para a razão das médias geométricas dos parâmetros</w:t>
      </w:r>
    </w:p>
    <w:p w:rsidR="00847015" w:rsidRPr="004E3E37" w:rsidRDefault="00385F7F" w:rsidP="00847015">
      <w:pPr>
        <w:rPr>
          <w:rFonts w:ascii="Times New Roman" w:hAnsi="Times New Roman" w:cs="Times New Roman"/>
          <w:strike/>
          <w:sz w:val="24"/>
          <w:szCs w:val="24"/>
        </w:rPr>
      </w:pPr>
      <w:r w:rsidRPr="004E3E37">
        <w:rPr>
          <w:rFonts w:ascii="Times New Roman" w:hAnsi="Times New Roman" w:cs="Times New Roman"/>
          <w:strike/>
          <w:noProof/>
          <w:sz w:val="24"/>
          <w:szCs w:val="24"/>
          <w:lang w:eastAsia="pt-BR"/>
        </w:rPr>
        <mc:AlternateContent>
          <mc:Choice Requires="wps">
            <w:drawing>
              <wp:anchor distT="0" distB="0" distL="114300" distR="114300" simplePos="0" relativeHeight="251658240" behindDoc="0" locked="0" layoutInCell="1" allowOverlap="1">
                <wp:simplePos x="0" y="0"/>
                <wp:positionH relativeFrom="column">
                  <wp:posOffset>223878</wp:posOffset>
                </wp:positionH>
                <wp:positionV relativeFrom="paragraph">
                  <wp:posOffset>298533</wp:posOffset>
                </wp:positionV>
                <wp:extent cx="3419061" cy="31805"/>
                <wp:effectExtent l="0" t="0" r="10160" b="25400"/>
                <wp:wrapNone/>
                <wp:docPr id="2" name="Conector reto 2"/>
                <wp:cNvGraphicFramePr/>
                <a:graphic xmlns:a="http://schemas.openxmlformats.org/drawingml/2006/main">
                  <a:graphicData uri="http://schemas.microsoft.com/office/word/2010/wordprocessingShape">
                    <wps:wsp>
                      <wps:cNvCnPr/>
                      <wps:spPr>
                        <a:xfrm>
                          <a:off x="0" y="0"/>
                          <a:ext cx="3419061" cy="318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C6F4C8D" id="Conector reto 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7.65pt,23.5pt" to="286.8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" strokecolor="black [3040]"/>
            </w:pict>
          </mc:Fallback>
        </mc:AlternateContent>
      </w:r>
      <w:r w:rsidR="00847015" w:rsidRPr="004E3E37">
        <w:rPr>
          <w:rFonts w:ascii="Times New Roman" w:hAnsi="Times New Roman" w:cs="Times New Roman"/>
          <w:strike/>
          <w:noProof/>
          <w:sz w:val="24"/>
          <w:szCs w:val="24"/>
          <w:lang w:eastAsia="pt-BR"/>
        </w:rPr>
        <w:drawing>
          <wp:inline distT="0" distB="0" distL="0" distR="0" wp14:anchorId="0383B1A0" wp14:editId="6E41E89E">
            <wp:extent cx="4088581" cy="720000"/>
            <wp:effectExtent l="0" t="0" r="0" b="444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62150" t="82776" r="14433" b="9890"/>
                    <a:stretch/>
                  </pic:blipFill>
                  <pic:spPr bwMode="auto">
                    <a:xfrm>
                      <a:off x="0" y="0"/>
                      <a:ext cx="4088581" cy="720000"/>
                    </a:xfrm>
                    <a:prstGeom prst="rect">
                      <a:avLst/>
                    </a:prstGeom>
                    <a:ln>
                      <a:noFill/>
                    </a:ln>
                    <a:extLst>
                      <a:ext uri="{53640926-AAD7-44D8-BBD7-CCE9431645EC}">
                        <a14:shadowObscured xmlns:a14="http://schemas.microsoft.com/office/drawing/2010/main"/>
                      </a:ext>
                    </a:extLst>
                  </pic:spPr>
                </pic:pic>
              </a:graphicData>
            </a:graphic>
          </wp:inline>
        </w:drawing>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A construção desse IC deve ser baseada no quadrado médio residual da ANOVA obtida conforme item c;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e)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será analisado como diferença individual = teste - referência, construindo-se IC de 90%, utilizando-se teste não paramétrico;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lastRenderedPageBreak/>
        <w:t xml:space="preserve">f) dois medicamentos serão considerados </w:t>
      </w:r>
      <w:proofErr w:type="spellStart"/>
      <w:r w:rsidRPr="004E3E37">
        <w:rPr>
          <w:rFonts w:ascii="Times New Roman" w:hAnsi="Times New Roman" w:cs="Times New Roman"/>
          <w:strike/>
          <w:sz w:val="24"/>
          <w:szCs w:val="24"/>
        </w:rPr>
        <w:t>bioequivalentes</w:t>
      </w:r>
      <w:proofErr w:type="spellEnd"/>
      <w:r w:rsidRPr="004E3E37">
        <w:rPr>
          <w:rFonts w:ascii="Times New Roman" w:hAnsi="Times New Roman" w:cs="Times New Roman"/>
          <w:strike/>
          <w:sz w:val="24"/>
          <w:szCs w:val="24"/>
        </w:rPr>
        <w:t xml:space="preserve"> quando o IC de 90% para as seguintes razões: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teste/ASC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ref 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teste/</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ref</w:t>
      </w:r>
      <w:proofErr w:type="spellEnd"/>
      <w:r w:rsidRPr="004E3E37">
        <w:rPr>
          <w:rFonts w:ascii="Times New Roman" w:hAnsi="Times New Roman" w:cs="Times New Roman"/>
          <w:strike/>
          <w:sz w:val="24"/>
          <w:szCs w:val="24"/>
        </w:rPr>
        <w:t xml:space="preserve"> entre as médias dos parâmetros farmacocinéticos de teste e referência estiverem compreendidos entre 80 a 125%. Outros limites de IC de 90% para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previamente estabelecidos no protocolo, poderão ser aceitos mediante justificativas científicas. Quando clinicamente relevante,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deverá também ser considerado;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e) esse método baseado em IC é equivalente ao procedimento de dois testes </w:t>
      </w:r>
      <w:proofErr w:type="spellStart"/>
      <w:r w:rsidRPr="004E3E37">
        <w:rPr>
          <w:rFonts w:ascii="Times New Roman" w:hAnsi="Times New Roman" w:cs="Times New Roman"/>
          <w:strike/>
          <w:sz w:val="24"/>
          <w:szCs w:val="24"/>
        </w:rPr>
        <w:t>unicaudais</w:t>
      </w:r>
      <w:proofErr w:type="spellEnd"/>
      <w:r w:rsidRPr="004E3E37">
        <w:rPr>
          <w:rFonts w:ascii="Times New Roman" w:hAnsi="Times New Roman" w:cs="Times New Roman"/>
          <w:strike/>
          <w:sz w:val="24"/>
          <w:szCs w:val="24"/>
        </w:rPr>
        <w:t xml:space="preserve"> correspondentes com a hipótese nula de </w:t>
      </w:r>
      <w:proofErr w:type="spellStart"/>
      <w:r w:rsidRPr="004E3E37">
        <w:rPr>
          <w:rFonts w:ascii="Times New Roman" w:hAnsi="Times New Roman" w:cs="Times New Roman"/>
          <w:strike/>
          <w:sz w:val="24"/>
          <w:szCs w:val="24"/>
        </w:rPr>
        <w:t>bioinequivalência</w:t>
      </w:r>
      <w:proofErr w:type="spellEnd"/>
      <w:r w:rsidRPr="004E3E37">
        <w:rPr>
          <w:rFonts w:ascii="Times New Roman" w:hAnsi="Times New Roman" w:cs="Times New Roman"/>
          <w:strike/>
          <w:sz w:val="24"/>
          <w:szCs w:val="24"/>
        </w:rPr>
        <w:t xml:space="preserve">, com nível de significância de 5% (α=0,05);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f) para fármacos que apresentem baixo índice terapêutico, tais como </w:t>
      </w:r>
      <w:proofErr w:type="spellStart"/>
      <w:r w:rsidRPr="004E3E37">
        <w:rPr>
          <w:rFonts w:ascii="Times New Roman" w:hAnsi="Times New Roman" w:cs="Times New Roman"/>
          <w:strike/>
          <w:sz w:val="24"/>
          <w:szCs w:val="24"/>
        </w:rPr>
        <w:t>carbamazepina</w:t>
      </w:r>
      <w:proofErr w:type="spellEnd"/>
      <w:r w:rsidRPr="004E3E37">
        <w:rPr>
          <w:rFonts w:ascii="Times New Roman" w:hAnsi="Times New Roman" w:cs="Times New Roman"/>
          <w:strike/>
          <w:sz w:val="24"/>
          <w:szCs w:val="24"/>
        </w:rPr>
        <w:t>, á para avaliação da bioequivalência devem ser empregados os parâmetros ASC</w:t>
      </w:r>
      <w:r w:rsidRPr="004E3E37">
        <w:rPr>
          <w:rFonts w:ascii="Times New Roman" w:hAnsi="Times New Roman" w:cs="Times New Roman"/>
          <w:strike/>
          <w:sz w:val="24"/>
          <w:szCs w:val="24"/>
          <w:vertAlign w:val="subscript"/>
        </w:rPr>
        <w:t>0-t</w:t>
      </w:r>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C</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e </w:t>
      </w:r>
      <w:proofErr w:type="spellStart"/>
      <w:r w:rsidRPr="004E3E37">
        <w:rPr>
          <w:rFonts w:ascii="Times New Roman" w:hAnsi="Times New Roman" w:cs="Times New Roman"/>
          <w:strike/>
          <w:sz w:val="24"/>
          <w:szCs w:val="24"/>
        </w:rPr>
        <w:t>T</w:t>
      </w:r>
      <w:r w:rsidRPr="004E3E37">
        <w:rPr>
          <w:rFonts w:ascii="Times New Roman" w:hAnsi="Times New Roman" w:cs="Times New Roman"/>
          <w:strike/>
          <w:sz w:val="24"/>
          <w:szCs w:val="24"/>
          <w:vertAlign w:val="subscript"/>
        </w:rPr>
        <w:t>max</w:t>
      </w:r>
      <w:proofErr w:type="spellEnd"/>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cido</w:t>
      </w:r>
      <w:proofErr w:type="spellEnd"/>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valpróico</w:t>
      </w:r>
      <w:proofErr w:type="spellEnd"/>
      <w:r w:rsidRPr="004E3E37">
        <w:rPr>
          <w:rFonts w:ascii="Times New Roman" w:hAnsi="Times New Roman" w:cs="Times New Roman"/>
          <w:strike/>
          <w:sz w:val="24"/>
          <w:szCs w:val="24"/>
        </w:rPr>
        <w:t xml:space="preserve">, </w:t>
      </w:r>
      <w:proofErr w:type="spellStart"/>
      <w:r w:rsidRPr="004E3E37">
        <w:rPr>
          <w:rFonts w:ascii="Times New Roman" w:hAnsi="Times New Roman" w:cs="Times New Roman"/>
          <w:strike/>
          <w:sz w:val="24"/>
          <w:szCs w:val="24"/>
        </w:rPr>
        <w:t>clindamicina</w:t>
      </w:r>
      <w:proofErr w:type="spellEnd"/>
      <w:r w:rsidRPr="004E3E37">
        <w:rPr>
          <w:rFonts w:ascii="Times New Roman" w:hAnsi="Times New Roman" w:cs="Times New Roman"/>
          <w:strike/>
          <w:sz w:val="24"/>
          <w:szCs w:val="24"/>
        </w:rPr>
        <w:t xml:space="preserve">, entre outros, deve-se adotar IC 95%;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g) programas estatísticos validados devem ser utilizados;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 xml:space="preserve">h) quando necessário, modelos estatísticos apropriados, dependendo do tipo de estudo (por exemplo, de doses múltiplas) devem ser empregados; </w:t>
      </w:r>
    </w:p>
    <w:p w:rsidR="00847015" w:rsidRPr="004E3E37" w:rsidRDefault="00847015" w:rsidP="00F636F8">
      <w:pPr>
        <w:spacing w:before="300" w:after="300" w:line="240" w:lineRule="auto"/>
        <w:ind w:firstLine="573"/>
        <w:jc w:val="both"/>
        <w:rPr>
          <w:rFonts w:ascii="Times New Roman" w:hAnsi="Times New Roman" w:cs="Times New Roman"/>
          <w:strike/>
          <w:sz w:val="24"/>
          <w:szCs w:val="24"/>
        </w:rPr>
      </w:pPr>
      <w:r w:rsidRPr="004E3E37">
        <w:rPr>
          <w:rFonts w:ascii="Times New Roman" w:hAnsi="Times New Roman" w:cs="Times New Roman"/>
          <w:strike/>
          <w:sz w:val="24"/>
          <w:szCs w:val="24"/>
        </w:rPr>
        <w:t>i) no caso de voluntários que apresentem comportamento discrepante nos parâmetros de absorção, em relação aos demais voluntários, sua exclusão do estudo deverá ser justificada. Deverão ser apresentados os resultados do estudo com e sem a inclusão de seus dados.</w:t>
      </w:r>
    </w:p>
    <w:p w:rsidR="00847015" w:rsidRPr="004E3E37" w:rsidRDefault="00847015" w:rsidP="00F636F8">
      <w:pPr>
        <w:spacing w:before="300" w:after="300" w:line="240" w:lineRule="auto"/>
        <w:ind w:firstLine="573"/>
        <w:jc w:val="both"/>
        <w:rPr>
          <w:rFonts w:ascii="Times New Roman" w:hAnsi="Times New Roman" w:cs="Times New Roman"/>
          <w:b/>
          <w:strike/>
          <w:color w:val="0000FF"/>
          <w:sz w:val="24"/>
          <w:szCs w:val="24"/>
        </w:rPr>
      </w:pPr>
      <w:r w:rsidRPr="004E3E37">
        <w:rPr>
          <w:rFonts w:ascii="Times New Roman" w:hAnsi="Times New Roman" w:cs="Times New Roman"/>
          <w:strike/>
          <w:sz w:val="24"/>
          <w:szCs w:val="24"/>
        </w:rPr>
        <w:t xml:space="preserve"> j) informar os programas (softwares) usados para a análise estatística dos dados.</w:t>
      </w:r>
    </w:p>
    <w:p w:rsidR="00D621E1" w:rsidRPr="004E3E37" w:rsidRDefault="00D621E1" w:rsidP="00F636F8">
      <w:pPr>
        <w:spacing w:before="300" w:after="300" w:line="240" w:lineRule="auto"/>
        <w:ind w:firstLine="573"/>
        <w:jc w:val="both"/>
        <w:rPr>
          <w:rFonts w:ascii="Times New Roman" w:hAnsi="Times New Roman" w:cs="Times New Roman"/>
          <w:strike/>
          <w:sz w:val="24"/>
          <w:szCs w:val="24"/>
        </w:rPr>
      </w:pPr>
    </w:p>
    <w:sectPr w:rsidR="00D621E1" w:rsidRPr="004E3E37">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E37" w:rsidRDefault="004E3E37" w:rsidP="004E3E37">
      <w:pPr>
        <w:spacing w:after="0" w:line="240" w:lineRule="auto"/>
      </w:pPr>
      <w:r>
        <w:separator/>
      </w:r>
    </w:p>
  </w:endnote>
  <w:endnote w:type="continuationSeparator" w:id="0">
    <w:p w:rsidR="004E3E37" w:rsidRDefault="004E3E37" w:rsidP="004E3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E37" w:rsidRPr="004E3E37" w:rsidRDefault="004E3E37" w:rsidP="004E3E3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E37" w:rsidRDefault="004E3E37" w:rsidP="004E3E37">
      <w:pPr>
        <w:spacing w:after="0" w:line="240" w:lineRule="auto"/>
      </w:pPr>
      <w:r>
        <w:separator/>
      </w:r>
    </w:p>
  </w:footnote>
  <w:footnote w:type="continuationSeparator" w:id="0">
    <w:p w:rsidR="004E3E37" w:rsidRDefault="004E3E37" w:rsidP="004E3E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3E37" w:rsidRPr="00B517AC" w:rsidRDefault="004E3E37" w:rsidP="004E3E3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066CC383" wp14:editId="1595300A">
          <wp:extent cx="657225" cy="647700"/>
          <wp:effectExtent l="0" t="0" r="9525" b="0"/>
          <wp:docPr id="3"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E3E37" w:rsidRPr="00B517AC" w:rsidRDefault="004E3E37" w:rsidP="004E3E3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4E3E37" w:rsidRPr="00B517AC" w:rsidRDefault="004E3E37" w:rsidP="004E3E3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4E3E37" w:rsidRDefault="004E3E3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EAF"/>
    <w:rsid w:val="00034EAF"/>
    <w:rsid w:val="000A2E54"/>
    <w:rsid w:val="000A4B21"/>
    <w:rsid w:val="001E708B"/>
    <w:rsid w:val="00385F7F"/>
    <w:rsid w:val="004C7067"/>
    <w:rsid w:val="004E3E37"/>
    <w:rsid w:val="007441BF"/>
    <w:rsid w:val="00786686"/>
    <w:rsid w:val="00847015"/>
    <w:rsid w:val="00B30817"/>
    <w:rsid w:val="00C97263"/>
    <w:rsid w:val="00D621E1"/>
    <w:rsid w:val="00F636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957FB"/>
  <w15:docId w15:val="{AC5E1ABE-B57D-4952-A2F0-53AA09DFA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34EA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4701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7015"/>
    <w:rPr>
      <w:rFonts w:ascii="Tahoma" w:hAnsi="Tahoma" w:cs="Tahoma"/>
      <w:sz w:val="16"/>
      <w:szCs w:val="16"/>
    </w:rPr>
  </w:style>
  <w:style w:type="paragraph" w:styleId="Cabealho">
    <w:name w:val="header"/>
    <w:basedOn w:val="Normal"/>
    <w:link w:val="CabealhoChar"/>
    <w:uiPriority w:val="99"/>
    <w:unhideWhenUsed/>
    <w:rsid w:val="004E3E3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E3E37"/>
  </w:style>
  <w:style w:type="paragraph" w:styleId="Rodap">
    <w:name w:val="footer"/>
    <w:basedOn w:val="Normal"/>
    <w:link w:val="RodapChar"/>
    <w:uiPriority w:val="99"/>
    <w:unhideWhenUsed/>
    <w:rsid w:val="004E3E37"/>
    <w:pPr>
      <w:tabs>
        <w:tab w:val="center" w:pos="4252"/>
        <w:tab w:val="right" w:pos="8504"/>
      </w:tabs>
      <w:spacing w:after="0" w:line="240" w:lineRule="auto"/>
    </w:pPr>
  </w:style>
  <w:style w:type="character" w:customStyle="1" w:styleId="RodapChar">
    <w:name w:val="Rodapé Char"/>
    <w:basedOn w:val="Fontepargpadro"/>
    <w:link w:val="Rodap"/>
    <w:uiPriority w:val="99"/>
    <w:rsid w:val="004E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09736B-53D4-4131-9DEC-068A40BD1B1D}"/>
</file>

<file path=customXml/itemProps2.xml><?xml version="1.0" encoding="utf-8"?>
<ds:datastoreItem xmlns:ds="http://schemas.openxmlformats.org/officeDocument/2006/customXml" ds:itemID="{5A30172F-5DCA-48DC-9DA6-5FA72B70AB26}"/>
</file>

<file path=customXml/itemProps3.xml><?xml version="1.0" encoding="utf-8"?>
<ds:datastoreItem xmlns:ds="http://schemas.openxmlformats.org/officeDocument/2006/customXml" ds:itemID="{760960D6-4C5C-44CD-B676-6E923D8EF4E0}"/>
</file>

<file path=docProps/app.xml><?xml version="1.0" encoding="utf-8"?>
<Properties xmlns="http://schemas.openxmlformats.org/officeDocument/2006/extended-properties" xmlns:vt="http://schemas.openxmlformats.org/officeDocument/2006/docPropsVTypes">
  <Template>Normal</Template>
  <TotalTime>9</TotalTime>
  <Pages>7</Pages>
  <Words>2313</Words>
  <Characters>12495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4</cp:revision>
  <dcterms:created xsi:type="dcterms:W3CDTF">2015-10-13T15:29:00Z</dcterms:created>
  <dcterms:modified xsi:type="dcterms:W3CDTF">2017-03-23T18:00:00Z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