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mc:Ignorable="w14 w15 w16se w16cid w16 w16cex w16sdtdh w16sdtfl w16du wp14">
  <w:body>
    <w:p w:rsidR="00391E4F" w:rsidRDefault="00391E4F" w14:paraId="34A2E0A6" w14:textId="77777777">
      <w:pPr>
        <w:spacing w:after="600"/>
      </w:pPr>
    </w:p>
    <w:p w:rsidR="00391E4F" w:rsidRDefault="00000000" w14:paraId="67910ADB" w14:textId="77777777">
      <w:pPr>
        <w:spacing w:after="120"/>
        <w:jc w:val="center"/>
      </w:pPr>
      <w:r>
        <w:rPr>
          <w:b/>
          <w:bCs/>
          <w:color w:val="2F5496"/>
          <w:sz w:val="30"/>
          <w:szCs w:val="30"/>
        </w:rPr>
        <w:t>POSTECH DTAT</w:t>
      </w:r>
    </w:p>
    <w:p w:rsidR="00EC421C" w:rsidRDefault="00EC421C" w14:paraId="378E683F" w14:textId="77777777">
      <w:pPr>
        <w:spacing w:after="240"/>
        <w:jc w:val="center"/>
        <w:rPr>
          <w:b/>
          <w:bCs/>
          <w:color w:val="595959"/>
          <w:sz w:val="30"/>
          <w:szCs w:val="30"/>
        </w:rPr>
      </w:pPr>
    </w:p>
    <w:p w:rsidR="00391E4F" w:rsidRDefault="00000000" w14:paraId="425A697F" w14:textId="703EE2C4">
      <w:pPr>
        <w:spacing w:after="240"/>
        <w:jc w:val="center"/>
      </w:pPr>
      <w:r>
        <w:rPr>
          <w:b/>
          <w:bCs/>
          <w:color w:val="595959"/>
          <w:sz w:val="30"/>
          <w:szCs w:val="30"/>
        </w:rPr>
        <w:t xml:space="preserve">Tech </w:t>
      </w:r>
      <w:proofErr w:type="spellStart"/>
      <w:r>
        <w:rPr>
          <w:b/>
          <w:bCs/>
          <w:color w:val="595959"/>
          <w:sz w:val="30"/>
          <w:szCs w:val="30"/>
        </w:rPr>
        <w:t>Challenge</w:t>
      </w:r>
      <w:proofErr w:type="spellEnd"/>
      <w:r>
        <w:rPr>
          <w:b/>
          <w:bCs/>
          <w:color w:val="595959"/>
          <w:sz w:val="30"/>
          <w:szCs w:val="30"/>
        </w:rPr>
        <w:t xml:space="preserve"> — Fase 2</w:t>
      </w:r>
    </w:p>
    <w:p w:rsidR="00EC421C" w:rsidRDefault="00EC421C" w14:paraId="602A7CDD" w14:textId="77777777">
      <w:pPr>
        <w:spacing w:after="120"/>
        <w:jc w:val="center"/>
        <w:rPr>
          <w:b/>
          <w:bCs/>
          <w:color w:val="2F5496"/>
          <w:sz w:val="52"/>
          <w:szCs w:val="52"/>
        </w:rPr>
      </w:pPr>
    </w:p>
    <w:p w:rsidR="00391E4F" w:rsidRDefault="00000000" w14:paraId="218E033B" w14:textId="54EB4107">
      <w:pPr>
        <w:spacing w:after="120"/>
        <w:jc w:val="center"/>
      </w:pPr>
      <w:r>
        <w:rPr>
          <w:b/>
          <w:bCs/>
          <w:color w:val="2F5496"/>
          <w:sz w:val="52"/>
          <w:szCs w:val="52"/>
        </w:rPr>
        <w:t>Classificação de Qualidade de Vinhos</w:t>
      </w:r>
    </w:p>
    <w:p w:rsidR="00391E4F" w:rsidRDefault="00000000" w14:paraId="601EBCF5" w14:textId="77777777">
      <w:pPr>
        <w:spacing w:after="360"/>
        <w:jc w:val="center"/>
      </w:pPr>
      <w:r>
        <w:rPr>
          <w:b/>
          <w:bCs/>
          <w:color w:val="2F5496"/>
          <w:sz w:val="34"/>
          <w:szCs w:val="34"/>
        </w:rPr>
        <w:t>com Machine Learning</w:t>
      </w:r>
    </w:p>
    <w:p w:rsidR="00EC421C" w:rsidRDefault="00EC421C" w14:paraId="6958FBE6" w14:textId="77777777">
      <w:pPr>
        <w:spacing w:after="700"/>
        <w:jc w:val="center"/>
        <w:rPr>
          <w:i/>
          <w:iCs/>
          <w:color w:val="404040"/>
          <w:sz w:val="28"/>
          <w:szCs w:val="28"/>
        </w:rPr>
      </w:pPr>
    </w:p>
    <w:p w:rsidR="00391E4F" w:rsidRDefault="00000000" w14:paraId="1643EAA2" w14:textId="456FB3FE">
      <w:pPr>
        <w:spacing w:after="700"/>
        <w:jc w:val="center"/>
      </w:pPr>
      <w:r>
        <w:rPr>
          <w:i/>
          <w:iCs/>
          <w:color w:val="404040"/>
          <w:sz w:val="28"/>
          <w:szCs w:val="28"/>
        </w:rPr>
        <w:t>Relatório Técnico</w:t>
      </w:r>
    </w:p>
    <w:p w:rsidR="00EC421C" w:rsidRDefault="00EC421C" w14:paraId="2D61320D" w14:textId="77777777">
      <w:pPr>
        <w:spacing w:after="120"/>
        <w:jc w:val="center"/>
        <w:rPr>
          <w:b/>
          <w:bCs/>
          <w:color w:val="595959"/>
          <w:sz w:val="26"/>
          <w:szCs w:val="26"/>
        </w:rPr>
      </w:pPr>
    </w:p>
    <w:p w:rsidR="00391E4F" w:rsidRDefault="00000000" w14:paraId="468D0458" w14:textId="3796C06F">
      <w:pPr>
        <w:spacing w:after="120"/>
        <w:jc w:val="center"/>
      </w:pPr>
      <w:r>
        <w:rPr>
          <w:b/>
          <w:bCs/>
          <w:color w:val="595959"/>
          <w:sz w:val="26"/>
          <w:szCs w:val="26"/>
        </w:rPr>
        <w:t>Grupo</w:t>
      </w:r>
    </w:p>
    <w:p w:rsidR="00391E4F" w:rsidRDefault="00000000" w14:paraId="2AEC865A" w14:textId="77777777">
      <w:pPr>
        <w:spacing w:after="120"/>
        <w:jc w:val="center"/>
      </w:pPr>
      <w:r>
        <w:rPr>
          <w:sz w:val="24"/>
        </w:rPr>
        <w:t>Efraim Oliveira</w:t>
      </w:r>
    </w:p>
    <w:p w:rsidR="00391E4F" w:rsidRDefault="00000000" w14:paraId="4EEAF121" w14:textId="77777777">
      <w:pPr>
        <w:spacing w:after="120"/>
        <w:jc w:val="center"/>
      </w:pPr>
      <w:r>
        <w:rPr>
          <w:sz w:val="24"/>
        </w:rPr>
        <w:t xml:space="preserve">Érica </w:t>
      </w:r>
      <w:proofErr w:type="spellStart"/>
      <w:r>
        <w:rPr>
          <w:sz w:val="24"/>
        </w:rPr>
        <w:t>Tarsis</w:t>
      </w:r>
      <w:proofErr w:type="spellEnd"/>
    </w:p>
    <w:p w:rsidR="00391E4F" w:rsidRDefault="00000000" w14:paraId="26314EF0" w14:textId="77777777">
      <w:pPr>
        <w:spacing w:after="120"/>
        <w:jc w:val="center"/>
      </w:pPr>
      <w:r>
        <w:rPr>
          <w:sz w:val="24"/>
        </w:rPr>
        <w:t>Ricardo Moraes</w:t>
      </w:r>
    </w:p>
    <w:p w:rsidR="00391E4F" w:rsidRDefault="00000000" w14:paraId="4CAE1FC2" w14:textId="77777777">
      <w:pPr>
        <w:spacing w:after="120"/>
        <w:jc w:val="center"/>
      </w:pPr>
      <w:r>
        <w:rPr>
          <w:sz w:val="24"/>
        </w:rPr>
        <w:t>Rodrigo Bernardino</w:t>
      </w:r>
    </w:p>
    <w:p w:rsidR="00391E4F" w:rsidRDefault="00000000" w14:paraId="4F0535C2" w14:textId="77777777">
      <w:pPr>
        <w:spacing w:after="700"/>
        <w:jc w:val="center"/>
      </w:pPr>
      <w:r>
        <w:rPr>
          <w:sz w:val="24"/>
        </w:rPr>
        <w:t>Thiago Galvão</w:t>
      </w:r>
    </w:p>
    <w:p w:rsidR="00EC421C" w:rsidP="001A141D" w:rsidRDefault="00EC421C" w14:paraId="3D606F33" w14:textId="77777777">
      <w:pPr>
        <w:spacing w:after="120"/>
        <w:jc w:val="center"/>
        <w:rPr>
          <w:color w:val="595959"/>
          <w:sz w:val="24"/>
        </w:rPr>
      </w:pPr>
    </w:p>
    <w:p w:rsidR="001A141D" w:rsidP="001A141D" w:rsidRDefault="00000000" w14:paraId="6FBE5D8B" w14:textId="099F3FD4">
      <w:pPr>
        <w:spacing w:after="120"/>
        <w:jc w:val="center"/>
        <w:rPr>
          <w:color w:val="595959"/>
          <w:sz w:val="24"/>
        </w:rPr>
      </w:pPr>
      <w:r>
        <w:rPr>
          <w:color w:val="595959"/>
          <w:sz w:val="24"/>
        </w:rPr>
        <w:t>São Paulo · 2026</w:t>
      </w:r>
    </w:p>
    <w:sdt>
      <w:sdtPr>
        <w:id w:val="-1005979291"/>
        <w:docPartObj>
          <w:docPartGallery w:val="Table of Contents"/>
          <w:docPartUnique/>
        </w:docPartObj>
      </w:sdtPr>
      <w:sdtEndPr>
        <w:rPr>
          <w:rFonts w:ascii="Arial" w:hAnsi="Arial" w:eastAsia="Arial" w:cs="Arial"/>
          <w:noProof/>
          <w:color w:val="auto"/>
          <w:sz w:val="20"/>
          <w:szCs w:val="20"/>
        </w:rPr>
      </w:sdtEndPr>
      <w:sdtContent>
        <w:p w:rsidR="00A43735" w:rsidRDefault="00A43735" w14:paraId="195CC245" w14:textId="77777777">
          <w:pPr>
            <w:pStyle w:val="CabealhodoSumrio"/>
          </w:pPr>
        </w:p>
        <w:p w:rsidR="00A43735" w:rsidRDefault="00A43735" w14:paraId="0101FA8F" w14:textId="77777777">
          <w:pPr>
            <w:rPr>
              <w:rFonts w:asciiTheme="majorHAnsi" w:hAnsiTheme="majorHAnsi" w:eastAsiaTheme="majorEastAsia" w:cstheme="majorBidi"/>
              <w:b/>
              <w:bCs/>
              <w:color w:val="0F4761" w:themeColor="accent1" w:themeShade="BF"/>
              <w:sz w:val="28"/>
              <w:szCs w:val="28"/>
            </w:rPr>
          </w:pPr>
          <w:r>
            <w:br w:type="page"/>
          </w:r>
        </w:p>
        <w:p w:rsidRPr="00B32E36" w:rsidR="00A43735" w:rsidP="00B32E36" w:rsidRDefault="00A43735" w14:paraId="5FC3E33B" w14:textId="16958452">
          <w:pPr>
            <w:pStyle w:val="Ttulo1"/>
          </w:pPr>
          <w:bookmarkStart w:name="_Toc233109749" w:id="0"/>
          <w:r w:rsidRPr="00B32E36">
            <w:t>Sumário</w:t>
          </w:r>
          <w:bookmarkEnd w:id="0"/>
        </w:p>
        <w:p w:rsidRPr="00272343" w:rsidR="00272343" w:rsidP="00272343" w:rsidRDefault="00A43735" w14:paraId="7757D6A6" w14:textId="257640FF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r w:rsidRPr="00272343">
            <w:rPr>
              <w:noProof w:val="0"/>
              <w:sz w:val="18"/>
              <w:szCs w:val="18"/>
            </w:rPr>
            <w:fldChar w:fldCharType="begin"/>
          </w:r>
          <w:r w:rsidRPr="00272343">
            <w:rPr>
              <w:sz w:val="18"/>
              <w:szCs w:val="18"/>
            </w:rPr>
            <w:instrText>TOC \o "1-3" \h \z \u</w:instrText>
          </w:r>
          <w:r w:rsidRPr="00272343">
            <w:rPr>
              <w:noProof w:val="0"/>
              <w:sz w:val="18"/>
              <w:szCs w:val="18"/>
            </w:rPr>
            <w:fldChar w:fldCharType="separate"/>
          </w:r>
          <w:hyperlink w:history="1" w:anchor="_Toc233109749">
            <w:r w:rsidRPr="00272343" w:rsidR="00272343">
              <w:rPr>
                <w:rStyle w:val="Hyperlink"/>
                <w:sz w:val="18"/>
                <w:szCs w:val="18"/>
              </w:rPr>
              <w:t>Sumário</w:t>
            </w:r>
            <w:r w:rsidRPr="00272343" w:rsidR="00272343">
              <w:rPr>
                <w:webHidden/>
                <w:sz w:val="18"/>
                <w:szCs w:val="18"/>
              </w:rPr>
              <w:tab/>
            </w:r>
            <w:r w:rsidRPr="00272343" w:rsidR="00272343">
              <w:rPr>
                <w:webHidden/>
                <w:sz w:val="18"/>
                <w:szCs w:val="18"/>
              </w:rPr>
              <w:fldChar w:fldCharType="begin"/>
            </w:r>
            <w:r w:rsidRPr="00272343" w:rsidR="00272343">
              <w:rPr>
                <w:webHidden/>
                <w:sz w:val="18"/>
                <w:szCs w:val="18"/>
              </w:rPr>
              <w:instrText xml:space="preserve"> PAGEREF _Toc233109749 \h </w:instrText>
            </w:r>
            <w:r w:rsidRPr="00272343" w:rsidR="00272343">
              <w:rPr>
                <w:webHidden/>
                <w:sz w:val="18"/>
                <w:szCs w:val="18"/>
              </w:rPr>
            </w:r>
            <w:r w:rsidRPr="00272343" w:rsidR="00272343">
              <w:rPr>
                <w:webHidden/>
                <w:sz w:val="18"/>
                <w:szCs w:val="18"/>
              </w:rPr>
              <w:fldChar w:fldCharType="separate"/>
            </w:r>
            <w:r w:rsidR="00272343">
              <w:rPr>
                <w:webHidden/>
                <w:sz w:val="18"/>
                <w:szCs w:val="18"/>
              </w:rPr>
              <w:t>2</w:t>
            </w:r>
            <w:r w:rsidRPr="00272343" w:rsid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FD28A6C" w14:textId="07C54E43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0">
            <w:r w:rsidRPr="00272343">
              <w:rPr>
                <w:rStyle w:val="Hyperlink"/>
                <w:sz w:val="18"/>
                <w:szCs w:val="18"/>
              </w:rPr>
              <w:t>Índice de Figuras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_Toc233109750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3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B1555A2" w14:textId="4C0DC74B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1">
            <w:r w:rsidRPr="00272343">
              <w:rPr>
                <w:rStyle w:val="Hyperlink"/>
                <w:sz w:val="18"/>
                <w:szCs w:val="18"/>
              </w:rPr>
              <w:t>Índice de Tabelas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_Toc233109751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3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C830032" w14:textId="60056E09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2">
            <w:r w:rsidRPr="00272343">
              <w:rPr>
                <w:rStyle w:val="Hyperlink"/>
                <w:sz w:val="18"/>
                <w:szCs w:val="18"/>
              </w:rPr>
              <w:t>Resumo Executivo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_Toc233109752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4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8AB3790" w14:textId="068F22F4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3">
            <w:r w:rsidRPr="00272343">
              <w:rPr>
                <w:rStyle w:val="Hyperlink"/>
                <w:sz w:val="18"/>
                <w:szCs w:val="18"/>
              </w:rPr>
              <w:t>Artefatos e Links do Projeto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_Toc233109753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4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B7F4808" w14:textId="7F7EB48E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4">
            <w:r w:rsidRPr="00272343">
              <w:rPr>
                <w:rStyle w:val="Hyperlink"/>
                <w:sz w:val="18"/>
                <w:szCs w:val="18"/>
              </w:rPr>
              <w:t>1. Compreensão do Problema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_Toc233109754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5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5CFB4800" w14:textId="7D042783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55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1.1 Contexto e motivação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_Toc233109755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F0613D3" w14:textId="1D0B1B2D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56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1.2 Definição da variável-alvo e estratégia de binarização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_Toc233109756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73347BE" w14:textId="79CF0EA4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57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1.3 Visão geral da metodologia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_Toc233109757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6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553FF72" w14:textId="7C326A5B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58">
            <w:r w:rsidRPr="00272343">
              <w:rPr>
                <w:rStyle w:val="Hyperlink"/>
                <w:sz w:val="18"/>
                <w:szCs w:val="18"/>
              </w:rPr>
              <w:t>2. Análise Exploratória de Dados (EDA)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_Toc233109758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7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27B6D77" w14:textId="36945221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59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2.1 Governança e qualidade dos dados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_Toc233109759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7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42338C8" w14:textId="1CB863B8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0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2.2 Distribuição das notas de qualidade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_Toc233109760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7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6464699" w14:textId="7DDE85C0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1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2.3 Balanceamento das classes e a solução adotada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_Toc233109761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8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510F0B50" w14:textId="03DF5C41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2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2.4 Distribuição das variáveis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_Toc233109762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8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931CA96" w14:textId="5ABEBEBE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3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2.5 Detecção de outliers (método IQR)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_Toc233109763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10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635C41F" w14:textId="73739944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4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2.6 Correlações com olhar de negócio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_Toc233109764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11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7B194C2" w14:textId="09A7B91E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5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2.7 Poder discriminante por classe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_Toc233109765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13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2A4927E" w14:textId="6FE2DED3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6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2.8 Multicolinearidade (VIF)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_Toc233109766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13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5E94D891" w14:textId="11C69AB5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67">
            <w:r w:rsidRPr="00272343">
              <w:rPr>
                <w:rStyle w:val="Hyperlink"/>
                <w:sz w:val="18"/>
                <w:szCs w:val="18"/>
              </w:rPr>
              <w:t>3. Pré-Processamento de Dados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_Toc233109767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14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F4528FE" w14:textId="5C74BA9F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8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3.1 Tratamentos aplicados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_Toc233109768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B42447B" w14:textId="7683ECF0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69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3.2 Engenharia de variáveis (criada, testada e descartada)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_Toc233109769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84A02F7" w14:textId="475FD513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0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3.3 Interações entre variáveis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_Toc233109770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A60A74D" w14:textId="7AC24671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1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3.4 Robustez a distribuições assimétricas (teste logarítmico)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_Toc233109771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8FF328D" w14:textId="6E994FF3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72">
            <w:r w:rsidRPr="00272343">
              <w:rPr>
                <w:rStyle w:val="Hyperlink"/>
                <w:sz w:val="18"/>
                <w:szCs w:val="18"/>
              </w:rPr>
              <w:t>4. Desenvolvimento de Modelos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_Toc233109772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15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143358C" w14:textId="467880C3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3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4.1 Algoritmos testados experimentalmente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_Toc233109773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A6A0C09" w14:textId="05B3324E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4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4.2 Tratamento do desbalanceamento (Parte I)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_Toc233109774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15C7662" w14:textId="26C345D0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5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4.3 Otimização de hiperparâmetros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_Toc233109775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3366186" w14:textId="13574A6B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76">
            <w:r w:rsidRPr="00272343">
              <w:rPr>
                <w:rStyle w:val="Hyperlink"/>
                <w:sz w:val="18"/>
                <w:szCs w:val="18"/>
              </w:rPr>
              <w:t>5. Avaliação — Parte I (corte ≥ 7, desbalanceado)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_Toc233109776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16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84815F1" w14:textId="0F782FB0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7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5.1 Resultados sem correção de desbalanceamento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_Toc233109777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16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07E843B" w14:textId="3866C8B4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78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5.2 Resultados com ajuste de peso das classes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_Toc233109778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17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0A3C8CA" w14:textId="433A839E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79">
            <w:r w:rsidRPr="00272343">
              <w:rPr>
                <w:rStyle w:val="Hyperlink"/>
                <w:sz w:val="18"/>
                <w:szCs w:val="18"/>
              </w:rPr>
              <w:t>6. Avaliação — Parte II (corte ≥ 6, equilibrado)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_Toc233109779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18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65AC2E0" w14:textId="1974D9B5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0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6.1 Comparação entre os modelos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_Toc233109780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18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2F2EEE1" w14:textId="0E701BF5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1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6.2 O trade-off entre os dois erros e o impacto no negócio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_Toc233109781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19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CC30FF7" w14:textId="0FD46018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2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6.3 Capacidade de separação (curva ROC)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_Toc233109782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19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62487BF4" w14:textId="335D520B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3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6.4 Significância estatística e robustez das diferenças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_Toc233109783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20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1C817D6" w14:textId="7EEF1ED7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84">
            <w:r w:rsidRPr="00272343">
              <w:rPr>
                <w:rStyle w:val="Hyperlink"/>
                <w:sz w:val="18"/>
                <w:szCs w:val="18"/>
              </w:rPr>
              <w:t>7. Interpretação dos Resultados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_Toc233109784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22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44471833" w14:textId="45F40BDC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5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7.1 Importância das variáveis pela Random Forest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_Toc233109785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22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67843DA" w14:textId="15B03918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6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7.2 Análise SHAP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_Toc233109786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22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ECFEE8A" w14:textId="029D19A5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7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7.3 Implicações para o processo produtivo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_Toc233109787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23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9FF1700" w14:textId="33864D82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88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7.4 Importância por permutação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_Toc233109788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24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A222003" w14:textId="4CCF60DA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89">
            <w:r w:rsidRPr="00272343">
              <w:rPr>
                <w:rStyle w:val="Hyperlink"/>
                <w:sz w:val="18"/>
                <w:szCs w:val="18"/>
              </w:rPr>
              <w:t>8. Riscos, Limitações e Governança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_Toc233109789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25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2A32D1BB" w14:textId="472A035F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90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8.1 Limitações metodológicas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_Toc233109790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7AA4C713" w14:textId="17FBC34E">
          <w:pPr>
            <w:pStyle w:val="Sumrio2"/>
            <w:tabs>
              <w:tab w:val="right" w:leader="dot" w:pos="9350"/>
            </w:tabs>
            <w:spacing w:before="0" w:after="12"/>
            <w:rPr>
              <w:rFonts w:ascii="Arial" w:hAnsi="Arial" w:eastAsiaTheme="minorEastAsia"/>
              <w:b w:val="0"/>
              <w:bCs w:val="0"/>
              <w:noProof/>
              <w:kern w:val="2"/>
              <w:sz w:val="18"/>
              <w:szCs w:val="18"/>
              <w14:ligatures w14:val="standardContextual"/>
            </w:rPr>
          </w:pPr>
          <w:hyperlink w:history="1" w:anchor="_Toc233109791">
            <w:r w:rsidRPr="00272343">
              <w:rPr>
                <w:rStyle w:val="Hyperlink"/>
                <w:rFonts w:ascii="Arial" w:hAnsi="Arial"/>
                <w:b w:val="0"/>
                <w:bCs w:val="0"/>
                <w:noProof/>
                <w:sz w:val="18"/>
                <w:szCs w:val="18"/>
              </w:rPr>
              <w:t>8.2 Reprodutibilidade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ab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begin"/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instrText xml:space="preserve"> PAGEREF _Toc233109791 \h </w:instrTex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separate"/>
            </w:r>
            <w:r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t>25</w:t>
            </w:r>
            <w:r w:rsidRPr="00272343">
              <w:rPr>
                <w:rFonts w:ascii="Arial" w:hAnsi="Arial"/>
                <w:b w:val="0"/>
                <w:bCs w:val="0"/>
                <w:noProof/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1E76236F" w14:textId="4376C28F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92">
            <w:r w:rsidRPr="00272343">
              <w:rPr>
                <w:rStyle w:val="Hyperlink"/>
                <w:sz w:val="18"/>
                <w:szCs w:val="18"/>
              </w:rPr>
              <w:t>9. Conclusões e Recomendações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_Toc233109792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26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353A12A5" w14:textId="73479588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93">
            <w:r w:rsidRPr="00272343">
              <w:rPr>
                <w:rStyle w:val="Hyperlink"/>
                <w:sz w:val="18"/>
                <w:szCs w:val="18"/>
              </w:rPr>
              <w:t>10. Recomendação de implantação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_Toc233109793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26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Pr="00272343" w:rsidR="00272343" w:rsidP="00272343" w:rsidRDefault="00272343" w14:paraId="0FEA1C0F" w14:textId="6FC8C478">
          <w:pPr>
            <w:pStyle w:val="Sumrio1"/>
            <w:rPr>
              <w:rFonts w:eastAsiaTheme="minorEastAsia"/>
              <w:i w:val="0"/>
              <w:iCs w:val="0"/>
              <w:kern w:val="2"/>
              <w:sz w:val="18"/>
              <w:szCs w:val="18"/>
              <w14:ligatures w14:val="standardContextual"/>
            </w:rPr>
          </w:pPr>
          <w:hyperlink w:history="1" w:anchor="_Toc233109794">
            <w:r w:rsidRPr="00272343">
              <w:rPr>
                <w:rStyle w:val="Hyperlink"/>
                <w:sz w:val="18"/>
                <w:szCs w:val="18"/>
              </w:rPr>
              <w:t>11. Referências</w:t>
            </w:r>
            <w:r w:rsidRPr="00272343">
              <w:rPr>
                <w:webHidden/>
                <w:sz w:val="18"/>
                <w:szCs w:val="18"/>
              </w:rPr>
              <w:tab/>
            </w:r>
            <w:r w:rsidRPr="00272343">
              <w:rPr>
                <w:webHidden/>
                <w:sz w:val="18"/>
                <w:szCs w:val="18"/>
              </w:rPr>
              <w:fldChar w:fldCharType="begin"/>
            </w:r>
            <w:r w:rsidRPr="00272343">
              <w:rPr>
                <w:webHidden/>
                <w:sz w:val="18"/>
                <w:szCs w:val="18"/>
              </w:rPr>
              <w:instrText xml:space="preserve"> PAGEREF _Toc233109794 \h </w:instrText>
            </w:r>
            <w:r w:rsidRPr="00272343">
              <w:rPr>
                <w:webHidden/>
                <w:sz w:val="18"/>
                <w:szCs w:val="18"/>
              </w:rPr>
            </w:r>
            <w:r w:rsidRPr="00272343">
              <w:rPr>
                <w:webHidden/>
                <w:sz w:val="18"/>
                <w:szCs w:val="18"/>
              </w:rPr>
              <w:fldChar w:fldCharType="separate"/>
            </w:r>
            <w:r>
              <w:rPr>
                <w:webHidden/>
                <w:sz w:val="18"/>
                <w:szCs w:val="18"/>
              </w:rPr>
              <w:t>27</w:t>
            </w:r>
            <w:r w:rsidRPr="00272343">
              <w:rPr>
                <w:webHidden/>
                <w:sz w:val="18"/>
                <w:szCs w:val="18"/>
              </w:rPr>
              <w:fldChar w:fldCharType="end"/>
            </w:r>
          </w:hyperlink>
        </w:p>
        <w:p w:rsidR="00A43735" w:rsidP="00272343" w:rsidRDefault="00A43735" w14:paraId="78F12DF7" w14:textId="2343364E">
          <w:pPr>
            <w:spacing w:after="12"/>
          </w:pPr>
          <w:r w:rsidRPr="00272343">
            <w:rPr>
              <w:noProof/>
              <w:sz w:val="18"/>
              <w:szCs w:val="18"/>
            </w:rPr>
            <w:fldChar w:fldCharType="end"/>
          </w:r>
        </w:p>
      </w:sdtContent>
    </w:sdt>
    <w:p w:rsidR="00B32E36" w:rsidRDefault="00B32E36" w14:paraId="4AFBF87B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Pr="00A43735" w:rsidR="00391E4F" w:rsidP="00B32E36" w:rsidRDefault="00000000" w14:paraId="093AE4EF" w14:textId="6318D6F9">
      <w:pPr>
        <w:pStyle w:val="Ttulo1"/>
        <w:rPr>
          <w:sz w:val="21"/>
          <w:szCs w:val="21"/>
        </w:rPr>
      </w:pPr>
      <w:bookmarkStart w:name="_Toc233109750" w:id="1"/>
      <w:r>
        <w:t>Índice de Figuras</w:t>
      </w:r>
      <w:bookmarkEnd w:id="1"/>
    </w:p>
    <w:p w:rsidR="00CC0BA3" w:rsidRDefault="00CC0BA3" w14:paraId="5A45924B" w14:textId="48E1CCD3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r>
        <w:fldChar w:fldCharType="begin"/>
      </w:r>
      <w:r>
        <w:instrText xml:space="preserve"> TOC \h \z \c "Figura" </w:instrText>
      </w:r>
      <w:r>
        <w:fldChar w:fldCharType="separate"/>
      </w:r>
      <w:hyperlink w:history="1" w:anchor="_Toc233107007">
        <w:r w:rsidRPr="008C650E">
          <w:rPr>
            <w:rStyle w:val="Hyperlink"/>
            <w:noProof/>
          </w:rPr>
          <w:t>Figura 1 –</w:t>
        </w:r>
        <w:r w:rsidRPr="008C650E">
          <w:rPr>
            <w:rStyle w:val="Hyperlink"/>
            <w:noProof/>
          </w:rPr>
          <w:t xml:space="preserve"> </w:t>
        </w:r>
        <w:r w:rsidRPr="008C650E">
          <w:rPr>
            <w:rStyle w:val="Hyperlink"/>
            <w:noProof/>
          </w:rPr>
          <w:t>Fluxograma da m</w:t>
        </w:r>
        <w:r w:rsidRPr="008C650E">
          <w:rPr>
            <w:rStyle w:val="Hyperlink"/>
            <w:noProof/>
          </w:rPr>
          <w:t>e</w:t>
        </w:r>
        <w:r w:rsidRPr="008C650E">
          <w:rPr>
            <w:rStyle w:val="Hyperlink"/>
            <w:noProof/>
          </w:rPr>
          <w:t>todologia, da base original à recomendação.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_Toc233107007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6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A0A383D" w14:textId="335BAA33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08">
        <w:r w:rsidRPr="008C650E">
          <w:rPr>
            <w:rStyle w:val="Hyperlink"/>
            <w:noProof/>
          </w:rPr>
          <w:t>Figu</w:t>
        </w:r>
        <w:r w:rsidRPr="008C650E">
          <w:rPr>
            <w:rStyle w:val="Hyperlink"/>
            <w:noProof/>
          </w:rPr>
          <w:t>r</w:t>
        </w:r>
        <w:r w:rsidRPr="008C650E">
          <w:rPr>
            <w:rStyle w:val="Hyperlink"/>
            <w:noProof/>
          </w:rPr>
          <w:t>a 2 – Distribuição das notas de qualidade na base limpa (n = 1.018).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_Toc233107008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7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51C52B4" w14:textId="4F3A24A9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09">
        <w:r w:rsidRPr="008C650E">
          <w:rPr>
            <w:rStyle w:val="Hyperlink"/>
            <w:noProof/>
          </w:rPr>
          <w:t xml:space="preserve">Figura </w:t>
        </w:r>
        <w:r w:rsidRPr="008C650E">
          <w:rPr>
            <w:rStyle w:val="Hyperlink"/>
            <w:noProof/>
          </w:rPr>
          <w:t>3</w:t>
        </w:r>
        <w:r w:rsidRPr="008C650E">
          <w:rPr>
            <w:rStyle w:val="Hyperlink"/>
            <w:noProof/>
          </w:rPr>
          <w:t xml:space="preserve"> – Balanceamento das classes nos dois limiares.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_Toc233107009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1A9D955D" w14:textId="1F891039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0">
        <w:r w:rsidRPr="008C650E">
          <w:rPr>
            <w:rStyle w:val="Hyperlink"/>
            <w:noProof/>
          </w:rPr>
          <w:t>Figura 4 - Histogramas das onze variáveis físico-químicas.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2A77DFB0" w14:textId="7D054BE3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1">
        <w:r w:rsidRPr="008C650E">
          <w:rPr>
            <w:rStyle w:val="Hyperlink"/>
            <w:noProof/>
          </w:rPr>
          <w:t>Figura 5 - Boxplots das três variáveis com maior incidência de outliers (mantidos na base).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3CD20AD" w14:textId="7E0BD543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2">
        <w:r w:rsidRPr="008C650E">
          <w:rPr>
            <w:rStyle w:val="Hyperlink"/>
            <w:noProof/>
          </w:rPr>
          <w:t>Figura 6 - Correlação de Pearson de cada variável com a nota de qualidade.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7F6B8075" w14:textId="7B31748E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3">
        <w:r w:rsidRPr="008C650E">
          <w:rPr>
            <w:rStyle w:val="Hyperlink"/>
            <w:noProof/>
          </w:rPr>
          <w:t>Figura 7 - Mapa de calor das correlações entre todas as variáveis.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12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A2C131F" w14:textId="5450A52F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4">
        <w:r w:rsidRPr="008C650E">
          <w:rPr>
            <w:rStyle w:val="Hyperlink"/>
            <w:noProof/>
          </w:rPr>
          <w:t>Figura 8 - Distribuição das variáveis-chave por classe (corte ≥ 6).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67E66773" w14:textId="40977ED2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5">
        <w:r w:rsidRPr="008C650E">
          <w:rPr>
            <w:rStyle w:val="Hyperlink"/>
            <w:noProof/>
          </w:rPr>
          <w:t>Figura 9 - F1-Score por modelo na Parte I, sem correção (destaque para o melhor).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0D1B82CB" w14:textId="217482F6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6">
        <w:r w:rsidRPr="008C650E">
          <w:rPr>
            <w:rStyle w:val="Hyperlink"/>
            <w:noProof/>
          </w:rPr>
          <w:t>Figura 10 - F1-Score por modelo na Parte I, com ajuste de peso das classes.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73755B51" w14:textId="20B752FA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7">
        <w:r w:rsidRPr="008C650E">
          <w:rPr>
            <w:rStyle w:val="Hyperlink"/>
            <w:noProof/>
          </w:rPr>
          <w:t>Figura 11- F1-Score por modelo na Parte II (conjunto de teste).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783D2DC1" w14:textId="249972B0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8">
        <w:r w:rsidRPr="008C650E">
          <w:rPr>
            <w:rStyle w:val="Hyperlink"/>
            <w:noProof/>
          </w:rPr>
          <w:t>Figura 12 - Matrizes de confusão no conjunto de teste (corte ≥ 6): recomendado × melhor F1.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E114491" w14:textId="5BB35B6D">
      <w:pPr>
        <w:pStyle w:val="ndicedeilustraes"/>
        <w:tabs>
          <w:tab w:val="right" w:leader="dot" w:pos="9350"/>
        </w:tabs>
        <w:rPr>
          <w:rFonts w:eastAsiaTheme="minorEastAsia" w:cstheme="minorBidi"/>
          <w:noProof/>
          <w:kern w:val="2"/>
          <w:sz w:val="24"/>
          <w14:ligatures w14:val="standardContextual"/>
        </w:rPr>
      </w:pPr>
      <w:hyperlink w:history="1" w:anchor="_Toc233107019">
        <w:r w:rsidRPr="008C650E">
          <w:rPr>
            <w:rStyle w:val="Hyperlink"/>
            <w:noProof/>
          </w:rPr>
          <w:t>Figura 13 - C</w:t>
        </w:r>
        <w:r w:rsidRPr="008C650E">
          <w:rPr>
            <w:rStyle w:val="Hyperlink"/>
            <w:noProof/>
          </w:rPr>
          <w:t>u</w:t>
        </w:r>
        <w:r w:rsidRPr="008C650E">
          <w:rPr>
            <w:rStyle w:val="Hyperlink"/>
            <w:noProof/>
          </w:rPr>
          <w:t>rvas ROC dos sete modelos (corte ≥ 6), com as respectivas áreas (AUC).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20</w:t>
        </w:r>
        <w:r>
          <w:rPr>
            <w:noProof/>
            <w:webHidden/>
          </w:rPr>
          <w:fldChar w:fldCharType="end"/>
        </w:r>
      </w:hyperlink>
    </w:p>
    <w:p w:rsidR="00CC0BA3" w:rsidP="00CC0BA3" w:rsidRDefault="00CC0BA3" w14:paraId="51FE0125" w14:textId="186B4398">
      <w:pPr>
        <w:pStyle w:val="ndicedeilustraes"/>
        <w:tabs>
          <w:tab w:val="right" w:leader="dot" w:pos="9350"/>
        </w:tabs>
        <w:rPr>
          <w:rStyle w:val="Hyperlink"/>
          <w:noProof/>
        </w:rPr>
      </w:pPr>
      <w:hyperlink w:history="1" w:anchor="_Toc233107020">
        <w:r w:rsidRPr="008C650E">
          <w:rPr>
            <w:rStyle w:val="Hyperlink"/>
            <w:noProof/>
          </w:rPr>
          <w:t>Figura</w:t>
        </w:r>
        <w:r w:rsidRPr="008C650E">
          <w:rPr>
            <w:rStyle w:val="Hyperlink"/>
            <w:noProof/>
          </w:rPr>
          <w:t xml:space="preserve"> </w:t>
        </w:r>
        <w:r w:rsidRPr="008C650E">
          <w:rPr>
            <w:rStyle w:val="Hyperlink"/>
            <w:noProof/>
          </w:rPr>
          <w:t>14</w:t>
        </w:r>
        <w:r w:rsidRPr="008C650E">
          <w:rPr>
            <w:rStyle w:val="Hyperlink"/>
            <w:noProof/>
          </w:rPr>
          <w:t xml:space="preserve"> </w:t>
        </w:r>
        <w:r w:rsidRPr="008C650E">
          <w:rPr>
            <w:rStyle w:val="Hyperlink"/>
            <w:noProof/>
          </w:rPr>
          <w:t>- Curvas Precision-Recall (corte ≥ 6), com Average Precision (AP).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_Toc233107020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C0BA3" w:rsidP="00B32E36" w:rsidRDefault="00CC0BA3" w14:paraId="590FC3A9" w14:textId="771FB927">
      <w:pPr>
        <w:pStyle w:val="Ttulo1"/>
      </w:pPr>
      <w:r>
        <w:fldChar w:fldCharType="end"/>
      </w:r>
      <w:r w:rsidRPr="00CC0BA3">
        <w:t xml:space="preserve"> </w:t>
      </w:r>
      <w:bookmarkStart w:name="_Toc233109751" w:id="2"/>
      <w:r>
        <w:t xml:space="preserve">Índice de </w:t>
      </w:r>
      <w:r>
        <w:t>Tabelas</w:t>
      </w:r>
      <w:bookmarkEnd w:id="2"/>
    </w:p>
    <w:p w:rsidR="00CC0BA3" w:rsidRDefault="00CC0BA3" w14:paraId="1216E801" w14:textId="18B51EB9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r>
        <w:fldChar w:fldCharType="begin"/>
      </w:r>
      <w:r>
        <w:instrText xml:space="preserve"> TOC \h \z \c "Tabela" </w:instrText>
      </w:r>
      <w:r>
        <w:fldChar w:fldCharType="separate"/>
      </w:r>
      <w:hyperlink w:history="1" w:anchor="_Toc233107419">
        <w:r w:rsidRPr="00767EA3">
          <w:rPr>
            <w:rStyle w:val="Hyperlink"/>
            <w:noProof/>
          </w:rPr>
          <w:t>Tabela 1 – Os dois limiares de binarização analisados.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_Toc233107419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5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13CF25AA" w14:textId="77CE7A07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0">
        <w:r w:rsidRPr="00767EA3">
          <w:rPr>
            <w:rStyle w:val="Hyperlink"/>
            <w:noProof/>
          </w:rPr>
          <w:t>Tabela 2 - Estatística descritiva das variáveis (base limpa, n = 1.018).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9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0CE4A02F" w14:textId="0C07D977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1">
        <w:r w:rsidRPr="00767EA3">
          <w:rPr>
            <w:rStyle w:val="Hyperlink"/>
            <w:noProof/>
          </w:rPr>
          <w:t>Tabela 3 - Contagem de outliers por variável (método IQR), sobre a base limpa.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10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9E1F21B" w14:textId="22661393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2">
        <w:r w:rsidRPr="00767EA3">
          <w:rPr>
            <w:rStyle w:val="Hyperlink"/>
            <w:noProof/>
          </w:rPr>
          <w:t>Tabela 4 - Fator de Inflação de Variância por variável (&gt; 5 = atenção).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13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2C11D724" w14:textId="2B4612E2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3">
        <w:r w:rsidRPr="00767EA3">
          <w:rPr>
            <w:rStyle w:val="Hyperlink"/>
            <w:noProof/>
          </w:rPr>
          <w:t>Tabela 5 - Efeito da variável so2_ratio no F1 (validação cruzada, 5 dobras).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4377580B" w14:textId="0C4B7B9E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4">
        <w:r w:rsidRPr="00767EA3">
          <w:rPr>
            <w:rStyle w:val="Hyperlink"/>
            <w:noProof/>
          </w:rPr>
          <w:t>Tabela 6 - Efeito das interações no F1 (validação cruzada, 5 dobras).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4798146" w14:textId="0267852F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5">
        <w:r w:rsidRPr="00767EA3">
          <w:rPr>
            <w:rStyle w:val="Hyperlink"/>
            <w:noProof/>
          </w:rPr>
          <w:t>Tabela 7 - Regressão Logística com e sem transformação logarítmica das variáveis assimétricas.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14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4614E1E" w14:textId="686DE340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6">
        <w:r w:rsidRPr="00767EA3">
          <w:rPr>
            <w:rStyle w:val="Hyperlink"/>
            <w:noProof/>
          </w:rPr>
          <w:t>Tabela 8 - Melhores configurações encontradas pela busca em grade (GridSearchCV).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3FEC01F" w14:textId="48730B9F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7">
        <w:r w:rsidRPr="00767EA3">
          <w:rPr>
            <w:rStyle w:val="Hyperlink"/>
            <w:noProof/>
          </w:rPr>
          <w:t>Tabela 9 - Ganho da otimização de hiperparâmetros (F1 em validação cruzada).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_Toc233107427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15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4F1D3C54" w14:textId="726BC106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8">
        <w:r w:rsidRPr="00767EA3">
          <w:rPr>
            <w:rStyle w:val="Hyperlink"/>
            <w:noProof/>
          </w:rPr>
          <w:t>Tabela 10 - Parte I (corte ≥ 7), sem correção de desbalanceamento. Ordenado por F1-Score.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_Toc233107428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16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2FA03EE7" w14:textId="61EAE92B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29">
        <w:r w:rsidRPr="00767EA3">
          <w:rPr>
            <w:rStyle w:val="Hyperlink"/>
            <w:noProof/>
          </w:rPr>
          <w:t>Tabela 11 - Parte I (corte ≥ 7), com class_weight = 'balanced'. Ordenado por F1-Score.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_Toc233107429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17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199FC56" w14:textId="7664FD44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0">
        <w:r w:rsidRPr="00767EA3">
          <w:rPr>
            <w:rStyle w:val="Hyperlink"/>
            <w:noProof/>
          </w:rPr>
          <w:t>Tabela 12 - Parte II (corte ≥ 6): desempenho no conjunto de teste. Ordenado por F1-Score.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_Toc233107430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18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7B722F9A" w14:textId="2AB5CC1E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1">
        <w:r w:rsidRPr="00767EA3">
          <w:rPr>
            <w:rStyle w:val="Hyperlink"/>
            <w:noProof/>
          </w:rPr>
          <w:t>Tabela 13 - Estabilidade dos modelos: F1 médio e desvio em validação cruzada (5 dobras).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_Toc233107431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19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66992845" w14:textId="779D2B4E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2">
        <w:r w:rsidRPr="00767EA3">
          <w:rPr>
            <w:rStyle w:val="Hyperlink"/>
            <w:noProof/>
          </w:rPr>
          <w:t>Tabela 14 - F1 de teste e intervalo de confiança de 95% (bootstrap, 3.000 reamostragens).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_Toc233107432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21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1CAACC8A" w14:textId="2242F6A1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3">
        <w:r w:rsidRPr="00767EA3">
          <w:rPr>
            <w:rStyle w:val="Hyperlink"/>
            <w:noProof/>
          </w:rPr>
          <w:t>Tabela 15 - Importância das variáveis segundo a Random Forest.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22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5F758C11" w14:textId="535CD121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4">
        <w:r w:rsidRPr="00767EA3">
          <w:rPr>
            <w:rStyle w:val="Hyperlink"/>
            <w:noProof/>
          </w:rPr>
          <w:t>Tabela 16 - Resumo SHAP: impacto de cada variável na previsão da classe “Alta qualidade”.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23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3B8B6262" w14:textId="7E4E6A8C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5">
        <w:r w:rsidRPr="00767EA3">
          <w:rPr>
            <w:rStyle w:val="Hyperlink"/>
            <w:noProof/>
          </w:rPr>
          <w:t>Tabela 17 - Dependência SHAP do teor alcoólico e dos sulfatos (corte ≥ 6).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_Toc233107435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CC0BA3" w:rsidRDefault="00CC0BA3" w14:paraId="6D4A2D41" w14:textId="24E77E4E">
      <w:pPr>
        <w:pStyle w:val="ndicedeilustraes"/>
        <w:tabs>
          <w:tab w:val="right" w:leader="underscore" w:pos="9350"/>
        </w:tabs>
        <w:rPr>
          <w:rFonts w:eastAsiaTheme="minorEastAsia" w:cstheme="minorBidi"/>
          <w:i w:val="0"/>
          <w:iCs w:val="0"/>
          <w:noProof/>
          <w:kern w:val="2"/>
          <w:sz w:val="24"/>
          <w:szCs w:val="24"/>
          <w14:ligatures w14:val="standardContextual"/>
        </w:rPr>
      </w:pPr>
      <w:hyperlink w:history="1" w:anchor="_Toc233107436">
        <w:r w:rsidRPr="00767EA3">
          <w:rPr>
            <w:rStyle w:val="Hyperlink"/>
            <w:noProof/>
          </w:rPr>
          <w:t>Tabe</w:t>
        </w:r>
        <w:r w:rsidRPr="00767EA3">
          <w:rPr>
            <w:rStyle w:val="Hyperlink"/>
            <w:noProof/>
          </w:rPr>
          <w:t>l</w:t>
        </w:r>
        <w:r w:rsidRPr="00767EA3">
          <w:rPr>
            <w:rStyle w:val="Hyperlink"/>
            <w:noProof/>
          </w:rPr>
          <w:t>a 18 - Importância por permutação (queda média de F1), gráfico revisado.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_Toc233107436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 w:rsidR="00272343">
          <w:rPr>
            <w:noProof/>
            <w:webHidden/>
          </w:rPr>
          <w:t>24</w:t>
        </w:r>
        <w:r>
          <w:rPr>
            <w:noProof/>
            <w:webHidden/>
          </w:rPr>
          <w:fldChar w:fldCharType="end"/>
        </w:r>
      </w:hyperlink>
    </w:p>
    <w:p w:rsidR="00272343" w:rsidRDefault="00CC0BA3" w14:paraId="307D7D85" w14:textId="0CFA7155">
      <w:r>
        <w:fldChar w:fldCharType="end"/>
      </w:r>
    </w:p>
    <w:p w:rsidR="00272343" w:rsidRDefault="00272343" w14:paraId="7EDA7329" w14:textId="77777777">
      <w:r>
        <w:br w:type="page"/>
      </w:r>
    </w:p>
    <w:p w:rsidR="00391E4F" w:rsidRDefault="007C5C81" w14:paraId="4A205F16" w14:textId="4CD207AE">
      <w:pPr>
        <w:pStyle w:val="Ttulo1"/>
        <w:pageBreakBefore/>
      </w:pPr>
      <w:bookmarkStart w:name="_Toc233109752" w:id="3"/>
      <w:r>
        <w:t>Resumo</w:t>
      </w:r>
      <w:r>
        <w:t xml:space="preserve"> Executivo</w:t>
      </w:r>
      <w:bookmarkEnd w:id="3"/>
    </w:p>
    <w:p w:rsidR="00391E4F" w:rsidRDefault="00000000" w14:paraId="56ECB45E" w14:textId="77777777">
      <w:pPr>
        <w:spacing w:after="120" w:line="264" w:lineRule="auto"/>
        <w:jc w:val="both"/>
      </w:pPr>
      <w:r>
        <w:t xml:space="preserve">Este relatório apresenta a metodologia, os experimentos e as conclusões de um projeto de classificação binária da qualidade de vinhos tintos, desenvolvido sobre a base pública </w:t>
      </w:r>
      <w:proofErr w:type="spellStart"/>
      <w:r>
        <w:t>WineQT</w:t>
      </w:r>
      <w:proofErr w:type="spellEnd"/>
      <w:r>
        <w:t xml:space="preserve"> (</w:t>
      </w:r>
      <w:proofErr w:type="spellStart"/>
      <w:r>
        <w:t>Kaggle</w:t>
      </w:r>
      <w:proofErr w:type="spellEnd"/>
      <w:r>
        <w:t>). O objetivo é distinguir vinhos de alta qualidade dos de baixa/média qualidade usando exclusivamente variáveis físico-químicas mensuráveis durante a produção — apoiando a avaliação sensorial humana, que é subjetiva, lenta e cara.</w:t>
      </w:r>
    </w:p>
    <w:p w:rsidR="00391E4F" w:rsidRDefault="00000000" w14:paraId="51D07122" w14:textId="77777777">
      <w:pPr>
        <w:spacing w:after="120" w:line="264" w:lineRule="auto"/>
        <w:jc w:val="both"/>
      </w:pPr>
      <w:r>
        <w:t xml:space="preserve">Sob um único protocolo — mesma divisão treino/teste (80/20 estratificada), mesma validação cruzada (estratificada, cinco dobras) e mesma semente aleatória, foram efetivamente treinados e comparados sete algoritmos. No cenário principal (corte de qualidade ≥ 6), os melhores modelos alcançaram F1-Score entre </w:t>
      </w:r>
      <w:r>
        <w:rPr>
          <w:b/>
          <w:bCs/>
        </w:rPr>
        <w:t>0,76 e 0,79</w:t>
      </w:r>
      <w:r>
        <w:t xml:space="preserve"> no conjunto de teste. Em validação cruzada, a Random Forest obteve o melhor F1 médio (</w:t>
      </w:r>
      <w:r>
        <w:rPr>
          <w:b/>
          <w:bCs/>
        </w:rPr>
        <w:t>0,762</w:t>
      </w:r>
      <w:r>
        <w:t>) e o menor desvio (</w:t>
      </w:r>
      <w:r>
        <w:rPr>
          <w:b/>
          <w:bCs/>
        </w:rPr>
        <w:t>±0,015</w:t>
      </w:r>
      <w:r>
        <w:t xml:space="preserve">), confirmando-se como o modelo </w:t>
      </w:r>
      <w:r>
        <w:rPr>
          <w:b/>
          <w:bCs/>
        </w:rPr>
        <w:t>mais robusto e mais estável</w:t>
      </w:r>
      <w:r>
        <w:t>.</w:t>
      </w:r>
    </w:p>
    <w:p w:rsidR="00391E4F" w:rsidRDefault="00000000" w14:paraId="44911046" w14:textId="77777777">
      <w:pPr>
        <w:spacing w:after="120" w:line="264" w:lineRule="auto"/>
        <w:jc w:val="both"/>
      </w:pPr>
      <w:r>
        <w:t>Um achado metodológico relevante: aplicados testes de significância (</w:t>
      </w:r>
      <w:proofErr w:type="spellStart"/>
      <w:r>
        <w:t>McNemar</w:t>
      </w:r>
      <w:proofErr w:type="spellEnd"/>
      <w:r>
        <w:t xml:space="preserve">, comparação pareada por dobras e intervalos de confiança por </w:t>
      </w:r>
      <w:proofErr w:type="spellStart"/>
      <w:r>
        <w:t>bootstrap</w:t>
      </w:r>
      <w:proofErr w:type="spellEnd"/>
      <w:r>
        <w:t xml:space="preserve">), as diferenças entre os modelos do topo </w:t>
      </w:r>
      <w:r>
        <w:rPr>
          <w:b/>
          <w:bCs/>
        </w:rPr>
        <w:t>não são estatisticamente significativas</w:t>
      </w:r>
      <w:r>
        <w:t xml:space="preserve">. Por isso, a escolha do modelo de produção é feita por critérios operacionais — recomenda-se a </w:t>
      </w:r>
      <w:r>
        <w:rPr>
          <w:b/>
          <w:bCs/>
        </w:rPr>
        <w:t>Random Forest otimizada</w:t>
      </w:r>
      <w:r>
        <w:t xml:space="preserve"> (melhor desempenho em validação cruzada, robustez a outliers e </w:t>
      </w:r>
      <w:proofErr w:type="spellStart"/>
      <w:r>
        <w:t>interpretabilidade</w:t>
      </w:r>
      <w:proofErr w:type="spellEnd"/>
      <w:r>
        <w:t>), com a Regressão Logística como modelo-companheiro transparente.</w:t>
      </w:r>
    </w:p>
    <w:p w:rsidR="00391E4F" w:rsidRDefault="00000000" w14:paraId="0C2A2EFD" w14:textId="77777777">
      <w:pPr>
        <w:spacing w:after="120" w:line="264" w:lineRule="auto"/>
        <w:jc w:val="both"/>
      </w:pPr>
      <w:r>
        <w:t xml:space="preserve">Três variáveis físico-químicas destacaram-se como preditores dominantes, confirmadas por três métodos independentes de </w:t>
      </w:r>
      <w:proofErr w:type="spellStart"/>
      <w:r>
        <w:t>interpretabilidade</w:t>
      </w:r>
      <w:proofErr w:type="spellEnd"/>
      <w:r>
        <w:t xml:space="preserve">: o </w:t>
      </w:r>
      <w:r>
        <w:rPr>
          <w:b/>
          <w:bCs/>
        </w:rPr>
        <w:t>teor alcoólico</w:t>
      </w:r>
      <w:r>
        <w:t xml:space="preserve"> (influência positiva), os </w:t>
      </w:r>
      <w:r>
        <w:rPr>
          <w:b/>
          <w:bCs/>
        </w:rPr>
        <w:t>sulfatos</w:t>
      </w:r>
      <w:r>
        <w:t xml:space="preserve"> (positiva) e a </w:t>
      </w:r>
      <w:r>
        <w:rPr>
          <w:b/>
          <w:bCs/>
        </w:rPr>
        <w:t>acidez volátil</w:t>
      </w:r>
      <w:r>
        <w:t xml:space="preserve"> (negativa). Cada uma tem interpretação direta no processo produtivo, convertendo o modelo estatístico em recomendações concretas de gestão para a vinícola.</w:t>
      </w:r>
    </w:p>
    <w:p w:rsidR="00391E4F" w:rsidRDefault="00000000" w14:paraId="4959666B" w14:textId="77777777">
      <w:pPr>
        <w:pStyle w:val="Ttulo1"/>
      </w:pPr>
      <w:bookmarkStart w:name="_Toc233109753" w:id="4"/>
      <w:r>
        <w:t>Artefatos e Links do Projeto</w:t>
      </w:r>
      <w:bookmarkEnd w:id="4"/>
    </w:p>
    <w:p w:rsidRPr="001A141D" w:rsidR="00391E4F" w:rsidRDefault="00000000" w14:paraId="05BAEDCB" w14:textId="77777777">
      <w:pPr>
        <w:spacing w:after="120" w:line="264" w:lineRule="auto"/>
        <w:jc w:val="both"/>
        <w:rPr>
          <w:szCs w:val="20"/>
        </w:rPr>
      </w:pPr>
      <w:r>
        <w:t xml:space="preserve">Os artefatos avaliáveis deste projeto estão nos endereços abaixo. Substituir os marcadores pelos links definitivos do grupo antes da entrega e garantir que o repositório esteja público e o vídeo acessível (itens </w:t>
      </w:r>
      <w:r w:rsidRPr="001A141D">
        <w:rPr>
          <w:szCs w:val="20"/>
        </w:rPr>
        <w:t>eliminatórios).</w:t>
      </w:r>
    </w:p>
    <w:p w:rsidRPr="004F3339" w:rsidR="00391E4F" w:rsidRDefault="00000000" w14:paraId="6F412CD5" w14:textId="3C513CE3">
      <w:pPr>
        <w:pStyle w:val="PargrafodaLista"/>
        <w:numPr>
          <w:ilvl w:val="0"/>
          <w:numId w:val="2"/>
        </w:numPr>
        <w:spacing w:after="80" w:line="264" w:lineRule="auto"/>
        <w:jc w:val="both"/>
        <w:rPr>
          <w:rStyle w:val="CitaoIntensaChar"/>
        </w:rPr>
      </w:pPr>
      <w:r w:rsidRPr="001A141D">
        <w:rPr>
          <w:sz w:val="20"/>
          <w:szCs w:val="20"/>
        </w:rPr>
        <w:t xml:space="preserve">Repositório GitHub: </w:t>
      </w:r>
      <w:r w:rsidRPr="004F3339" w:rsidR="004F3339">
        <w:rPr>
          <w:rStyle w:val="CitaoIntensaChar"/>
        </w:rPr>
        <w:t>https://github.com/lgmricardo/Techchallenge2-G12</w:t>
      </w:r>
    </w:p>
    <w:p w:rsidR="00000000" w:rsidP="6AA5A9E2" w:rsidRDefault="00000000" w14:paraId="282D77B9" w14:textId="60E0FB79">
      <w:pPr>
        <w:pStyle w:val="PargrafodaLista"/>
        <w:numPr>
          <w:ilvl w:val="0"/>
          <w:numId w:val="2"/>
        </w:numPr>
        <w:spacing w:after="80" w:line="264" w:lineRule="auto"/>
        <w:jc w:val="both"/>
        <w:rPr>
          <w:rStyle w:val="Hyperlink"/>
          <w:rFonts w:ascii="Menlo" w:hAnsi="Menlo" w:eastAsia="Menlo" w:cs="Menlo"/>
          <w:noProof w:val="0"/>
          <w:sz w:val="20"/>
          <w:szCs w:val="20"/>
          <w:lang w:val="pt-BR"/>
        </w:rPr>
      </w:pPr>
      <w:r w:rsidRPr="6AA5A9E2" w:rsidR="00000000">
        <w:rPr>
          <w:sz w:val="20"/>
          <w:szCs w:val="20"/>
        </w:rPr>
        <w:t xml:space="preserve">Vídeo executivo (YouTube): </w:t>
      </w:r>
      <w:hyperlink r:id="R3a1d126069814401">
        <w:r w:rsidRPr="6AA5A9E2" w:rsidR="19E8B975">
          <w:rPr>
            <w:rStyle w:val="Hyperlink"/>
            <w:rFonts w:ascii="Menlo" w:hAnsi="Menlo" w:eastAsia="Menlo" w:cs="Menlo"/>
            <w:noProof w:val="0"/>
            <w:sz w:val="20"/>
            <w:szCs w:val="20"/>
            <w:lang w:val="pt-BR"/>
          </w:rPr>
          <w:t>YouTube</w:t>
        </w:r>
      </w:hyperlink>
    </w:p>
    <w:p w:rsidRPr="001A141D" w:rsidR="00A43735" w:rsidRDefault="00000000" w14:paraId="6C43E73F" w14:textId="1BDBEEC5">
      <w:pPr>
        <w:pStyle w:val="PargrafodaLista"/>
        <w:numPr>
          <w:ilvl w:val="0"/>
          <w:numId w:val="2"/>
        </w:numPr>
        <w:spacing w:after="80" w:line="264" w:lineRule="auto"/>
        <w:jc w:val="both"/>
        <w:rPr>
          <w:sz w:val="20"/>
          <w:szCs w:val="20"/>
        </w:rPr>
      </w:pPr>
      <w:r w:rsidRPr="001A141D">
        <w:rPr>
          <w:sz w:val="20"/>
          <w:szCs w:val="20"/>
        </w:rPr>
        <w:t>Apresentação executiva: disponível na pasta /</w:t>
      </w:r>
      <w:proofErr w:type="spellStart"/>
      <w:r w:rsidRPr="001A141D">
        <w:rPr>
          <w:sz w:val="20"/>
          <w:szCs w:val="20"/>
        </w:rPr>
        <w:t>apresentacao</w:t>
      </w:r>
      <w:proofErr w:type="spellEnd"/>
      <w:r w:rsidRPr="001A141D">
        <w:rPr>
          <w:sz w:val="20"/>
          <w:szCs w:val="20"/>
        </w:rPr>
        <w:t xml:space="preserve"> do repositório (PPT/PDF)</w:t>
      </w:r>
    </w:p>
    <w:p w:rsidR="00A43735" w:rsidRDefault="00A43735" w14:paraId="5F63BB41" w14:textId="77777777">
      <w:r>
        <w:br w:type="page"/>
      </w:r>
    </w:p>
    <w:p w:rsidR="00391E4F" w:rsidRDefault="00000000" w14:paraId="040B3DE6" w14:textId="77777777">
      <w:pPr>
        <w:pStyle w:val="Ttulo1"/>
      </w:pPr>
      <w:bookmarkStart w:name="_Toc233109754" w:id="5"/>
      <w:r>
        <w:t>1. Compreensão do Problema</w:t>
      </w:r>
      <w:bookmarkEnd w:id="5"/>
    </w:p>
    <w:p w:rsidR="00391E4F" w:rsidRDefault="00000000" w14:paraId="3E524425" w14:textId="77777777">
      <w:pPr>
        <w:pStyle w:val="Ttulo2"/>
      </w:pPr>
      <w:bookmarkStart w:name="_Toc233109755" w:id="6"/>
      <w:r>
        <w:t>1.1 Contexto e motivação</w:t>
      </w:r>
      <w:bookmarkEnd w:id="6"/>
    </w:p>
    <w:p w:rsidR="00391E4F" w:rsidRDefault="00000000" w14:paraId="750D23FE" w14:textId="77777777">
      <w:pPr>
        <w:spacing w:after="120" w:line="264" w:lineRule="auto"/>
        <w:jc w:val="both"/>
      </w:pPr>
      <w:r>
        <w:t>A qualidade de um vinho é tradicionalmente avaliada por especialistas, em análises sensoriais que consideram aroma, sabor, acidez e equilíbrio. Esse processo é, por natureza, subjetivo, varia de pessoa para pessoa e consome tempo. Como hoje é possível medir com precisão e baixo custo diversas propriedades físico-químicas durante a produção, surge a oportunidade de construir modelos preditivos que antecipem a classificação de qualidade a partir de dados objetivos.</w:t>
      </w:r>
    </w:p>
    <w:p w:rsidR="00391E4F" w:rsidRDefault="00000000" w14:paraId="142ABE56" w14:textId="77777777">
      <w:pPr>
        <w:spacing w:after="120" w:line="264" w:lineRule="auto"/>
        <w:jc w:val="both"/>
      </w:pPr>
      <w:r>
        <w:t>Para o negócio há dois ganhos concretos: (1) reduzir o tempo e o custo do controle de qualidade, que deixa de depender exclusivamente de degustadores; e (2) separar antecipadamente os lotes de alta qualidade, direcionando-os a uma precificação premium e protegendo a margem de lucro.</w:t>
      </w:r>
    </w:p>
    <w:p w:rsidR="00391E4F" w:rsidRDefault="00000000" w14:paraId="46D4B4D8" w14:textId="77777777">
      <w:pPr>
        <w:pStyle w:val="Ttulo2"/>
      </w:pPr>
      <w:bookmarkStart w:name="_Toc233109756" w:id="7"/>
      <w:r>
        <w:t xml:space="preserve">1.2 Definição da variável-alvo e estratégia de </w:t>
      </w:r>
      <w:proofErr w:type="spellStart"/>
      <w:r>
        <w:t>binarização</w:t>
      </w:r>
      <w:bookmarkEnd w:id="7"/>
      <w:proofErr w:type="spellEnd"/>
    </w:p>
    <w:p w:rsidR="00391E4F" w:rsidRDefault="00000000" w14:paraId="692AA6DF" w14:textId="77777777">
      <w:pPr>
        <w:spacing w:after="120" w:line="264" w:lineRule="auto"/>
        <w:jc w:val="both"/>
      </w:pPr>
      <w:r>
        <w:t>A base traz uma nota de qualidade de 3 a 8. Para transformar o problema em classificação binária (alta × baixa/média) é preciso escolher um ponto de corte — escolha que determina o equilíbrio entre as classes e, por consequência, a dificuldade do problema. Por isso os dois limiares foram analisados de forma comparativa, e não adotados por convenção.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100"/>
        <w:gridCol w:w="1500"/>
        <w:gridCol w:w="2400"/>
        <w:gridCol w:w="3360"/>
      </w:tblGrid>
      <w:tr w:rsidR="00391E4F" w14:paraId="319D87F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450A223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Limiar</w:t>
            </w:r>
          </w:p>
        </w:tc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468EC7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Classe “Alta”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8452DBD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Situação</w:t>
            </w:r>
          </w:p>
        </w:tc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0F85338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Papel no estudo</w:t>
            </w:r>
          </w:p>
        </w:tc>
      </w:tr>
      <w:tr w:rsidR="00391E4F" w14:paraId="50AC6A1B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37551BE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≥ 7 (sugerido no enunciado)</w:t>
            </w:r>
          </w:p>
        </w:tc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CD9F0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~13%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95B4B9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Desbalanceado (≈ 6,</w:t>
            </w:r>
            <w:proofErr w:type="gramStart"/>
            <w:r>
              <w:rPr>
                <w:color w:val="000000"/>
                <w:sz w:val="19"/>
                <w:szCs w:val="19"/>
              </w:rPr>
              <w:t>4 :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1)</w:t>
            </w:r>
          </w:p>
        </w:tc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E702E4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Parte I — demonstra a armadilha da acurácia</w:t>
            </w:r>
          </w:p>
        </w:tc>
      </w:tr>
      <w:tr w:rsidR="00391E4F" w14:paraId="58EFF726" w14:textId="77777777">
        <w:tblPrEx>
          <w:tblCellMar>
            <w:top w:w="0" w:type="dxa"/>
            <w:bottom w:w="0" w:type="dxa"/>
          </w:tblCellMar>
        </w:tblPrEx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6F618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≥ 6 (estratégia principal)</w:t>
            </w:r>
          </w:p>
        </w:tc>
        <w:tc>
          <w:tcPr>
            <w:tcW w:w="15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8FC679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~54%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61E912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Equilibrado (≈ 54/46)</w:t>
            </w:r>
          </w:p>
        </w:tc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B44CB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Parte II — decisão guiada pelos dados</w:t>
            </w:r>
          </w:p>
        </w:tc>
      </w:tr>
    </w:tbl>
    <w:p w:rsidR="009530E0" w:rsidP="009530E0" w:rsidRDefault="009530E0" w14:paraId="487113CB" w14:textId="3D9A37B5">
      <w:pPr>
        <w:pStyle w:val="Legenda"/>
        <w:keepNext/>
        <w:jc w:val="center"/>
      </w:pPr>
      <w:bookmarkStart w:name="_Toc233107165" w:id="8"/>
      <w:bookmarkStart w:name="_Toc233107419" w:id="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</w:t>
      </w:r>
      <w:r>
        <w:fldChar w:fldCharType="end"/>
      </w:r>
      <w:r>
        <w:t xml:space="preserve"> – </w:t>
      </w:r>
      <w:r w:rsidRPr="000E5496">
        <w:t xml:space="preserve">Os dois limiares de </w:t>
      </w:r>
      <w:proofErr w:type="spellStart"/>
      <w:r w:rsidRPr="000E5496">
        <w:t>binarização</w:t>
      </w:r>
      <w:proofErr w:type="spellEnd"/>
      <w:r w:rsidRPr="000E5496">
        <w:t xml:space="preserve"> analisados.</w:t>
      </w:r>
      <w:bookmarkEnd w:id="8"/>
      <w:bookmarkEnd w:id="9"/>
    </w:p>
    <w:p w:rsidR="00391E4F" w:rsidRDefault="00000000" w14:paraId="79E8C6DC" w14:textId="77777777">
      <w:pPr>
        <w:spacing w:after="120" w:line="264" w:lineRule="auto"/>
        <w:jc w:val="both"/>
      </w:pPr>
      <w:r>
        <w:t xml:space="preserve">Trata-se de uma </w:t>
      </w:r>
      <w:r>
        <w:rPr>
          <w:b/>
          <w:bCs/>
        </w:rPr>
        <w:t>decisão de pré-processamento</w:t>
      </w:r>
      <w:r>
        <w:t xml:space="preserve"> justificada pelos próprios dados (Seção 2.2): as notas 6 e superiores concentram a maior parte das amostras avaliadas acima da média, e o equilíbrio resultante elimina o viés de classe sem reamostragem externa. </w:t>
      </w:r>
      <w:r>
        <w:rPr>
          <w:b/>
          <w:bCs/>
        </w:rPr>
        <w:t>Não é calibragem para inflar acurácia</w:t>
      </w:r>
      <w:r>
        <w:t xml:space="preserve"> — apenas calibrar para atingir uma métrica seria </w:t>
      </w:r>
      <w:proofErr w:type="spellStart"/>
      <w:r>
        <w:t>superajuste</w:t>
      </w:r>
      <w:proofErr w:type="spellEnd"/>
      <w:r>
        <w:t>.</w:t>
      </w:r>
    </w:p>
    <w:p w:rsidR="00391E4F" w:rsidRDefault="00000000" w14:paraId="7221CF91" w14:textId="77777777">
      <w:pPr>
        <w:spacing w:after="120" w:line="264" w:lineRule="auto"/>
        <w:jc w:val="both"/>
      </w:pPr>
      <w:r>
        <w:rPr>
          <w:i/>
          <w:iCs/>
        </w:rPr>
        <w:t>Para leigos: escolher o corte é como definir a “nota de aprovação”. Aprovar apenas quem tirou ≥ 7 deixa pouquíssimos aprovados (turma desbalanceada); a fronteira ≥ 6 separa melhor o “mediano” do “bom”.</w:t>
      </w:r>
    </w:p>
    <w:p w:rsidR="00A43735" w:rsidRDefault="00A43735" w14:paraId="5A5E87B0" w14:textId="77777777">
      <w:pPr>
        <w:rPr>
          <w:b/>
          <w:bCs/>
          <w:color w:val="2F5496"/>
          <w:sz w:val="25"/>
          <w:szCs w:val="25"/>
        </w:rPr>
      </w:pPr>
      <w:r>
        <w:br w:type="page"/>
      </w:r>
    </w:p>
    <w:p w:rsidR="00391E4F" w:rsidRDefault="00000000" w14:paraId="1624F23A" w14:textId="10139597">
      <w:pPr>
        <w:pStyle w:val="Ttulo2"/>
      </w:pPr>
      <w:bookmarkStart w:name="_Toc233109757" w:id="10"/>
      <w:r>
        <w:t>1.3 Visão geral da metodologia</w:t>
      </w:r>
      <w:bookmarkEnd w:id="10"/>
    </w:p>
    <w:p w:rsidR="00391E4F" w:rsidRDefault="00000000" w14:paraId="226D5AFC" w14:textId="77777777">
      <w:pPr>
        <w:spacing w:after="120" w:line="264" w:lineRule="auto"/>
        <w:jc w:val="both"/>
      </w:pPr>
      <w:r>
        <w:t>O fluxograma a seguir resume o fluxo completo do projeto, das etapas de preparação à recomendação final; cada bloco é detalhado nas seções seguintes.</w:t>
      </w:r>
    </w:p>
    <w:p w:rsidR="00391E4F" w:rsidRDefault="00000000" w14:paraId="58484D10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4EF0B27" wp14:editId="018B91B1">
            <wp:extent cx="4105275" cy="5715000"/>
            <wp:effectExtent l="0" t="0" r="0" b="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05275" cy="571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E0" w:rsidP="009530E0" w:rsidRDefault="009530E0" w14:paraId="7F891FC7" w14:textId="516E6625">
      <w:pPr>
        <w:pStyle w:val="Legenda"/>
        <w:jc w:val="center"/>
      </w:pPr>
      <w:bookmarkStart w:name="_Toc233107007" w:id="1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</w:t>
      </w:r>
      <w:r>
        <w:fldChar w:fldCharType="end"/>
      </w:r>
      <w:r>
        <w:t xml:space="preserve"> – </w:t>
      </w:r>
      <w:r w:rsidRPr="00814108">
        <w:t>Fluxograma da metodologia, da base original à recomendação.</w:t>
      </w:r>
      <w:bookmarkEnd w:id="11"/>
    </w:p>
    <w:p w:rsidR="00A43735" w:rsidRDefault="00A43735" w14:paraId="3CC85828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="00391E4F" w:rsidRDefault="00000000" w14:paraId="588D25FE" w14:textId="2D4EA2CD">
      <w:pPr>
        <w:pStyle w:val="Ttulo1"/>
      </w:pPr>
      <w:bookmarkStart w:name="_Toc233109758" w:id="12"/>
      <w:r>
        <w:t>2. Análise Exploratória de Dados (EDA)</w:t>
      </w:r>
      <w:bookmarkEnd w:id="12"/>
    </w:p>
    <w:p w:rsidR="00391E4F" w:rsidRDefault="00000000" w14:paraId="39F76A40" w14:textId="77777777">
      <w:pPr>
        <w:pStyle w:val="Ttulo2"/>
      </w:pPr>
      <w:bookmarkStart w:name="_Toc233109759" w:id="13"/>
      <w:r>
        <w:t>2.1 Governança e qualidade dos dados</w:t>
      </w:r>
      <w:bookmarkEnd w:id="13"/>
    </w:p>
    <w:p w:rsidR="00391E4F" w:rsidRDefault="00000000" w14:paraId="63B3DF15" w14:textId="77777777">
      <w:pPr>
        <w:spacing w:after="120" w:line="264" w:lineRule="auto"/>
        <w:jc w:val="both"/>
      </w:pPr>
      <w:r>
        <w:t xml:space="preserve">Seguindo o princípio de “preparar-se para o pior” (Lei de Murphy), a base foi auditada antes de qualquer análise. A base original tinha </w:t>
      </w:r>
      <w:r>
        <w:rPr>
          <w:b/>
          <w:bCs/>
        </w:rPr>
        <w:t>1.143 amostras</w:t>
      </w:r>
      <w:r>
        <w:t xml:space="preserve"> e 13 colunas, sem nenhum valor nulo. Foram identificados </w:t>
      </w:r>
      <w:r>
        <w:rPr>
          <w:b/>
          <w:bCs/>
        </w:rPr>
        <w:t>125 registros idênticos</w:t>
      </w:r>
      <w:r>
        <w:t xml:space="preserve"> — mesmas onze medições físico-químicas e </w:t>
      </w:r>
      <w:proofErr w:type="gramStart"/>
      <w:r>
        <w:t>a mesma</w:t>
      </w:r>
      <w:proofErr w:type="gramEnd"/>
      <w:r>
        <w:t xml:space="preserve"> nota — reduzidos a uma única ocorrência cada, restando </w:t>
      </w:r>
      <w:r>
        <w:rPr>
          <w:b/>
          <w:bCs/>
        </w:rPr>
        <w:t>1.018 amostras</w:t>
      </w:r>
      <w:r>
        <w:t>.</w:t>
      </w:r>
    </w:p>
    <w:p w:rsidR="00391E4F" w:rsidRDefault="00000000" w14:paraId="06820D90" w14:textId="77777777">
      <w:pPr>
        <w:spacing w:after="120" w:line="264" w:lineRule="auto"/>
        <w:jc w:val="both"/>
      </w:pPr>
      <w:r>
        <w:t>Ponto metodológico: a verificação de duplicidade ignorou deliberadamente a coluna de identificação (Id). Esse campo é apenas um contador sequencial; se fosse considerado, nenhuma linha seria vista como duplicada e as repetições reais passariam despercebidas. Todas as estatísticas e modelos a seguir foram calculados exclusivamente sobre a base limpa de 1.018 amostras.</w:t>
      </w:r>
    </w:p>
    <w:p w:rsidR="00391E4F" w:rsidRDefault="00000000" w14:paraId="464EF420" w14:textId="77777777">
      <w:pPr>
        <w:pStyle w:val="Ttulo2"/>
      </w:pPr>
      <w:bookmarkStart w:name="_Toc233109760" w:id="14"/>
      <w:r>
        <w:t>2.2 Distribuição das notas de qualidade</w:t>
      </w:r>
      <w:bookmarkEnd w:id="14"/>
    </w:p>
    <w:p w:rsidR="00391E4F" w:rsidRDefault="00000000" w14:paraId="5DF84CE9" w14:textId="77777777">
      <w:pPr>
        <w:spacing w:after="120" w:line="264" w:lineRule="auto"/>
        <w:jc w:val="both"/>
      </w:pPr>
      <w:r>
        <w:t xml:space="preserve">A distribuição revela forte concentração nos valores centrais: as notas 5 e 6 somam </w:t>
      </w:r>
      <w:r>
        <w:rPr>
          <w:b/>
          <w:bCs/>
        </w:rPr>
        <w:t>842 amostras (≈ 82,7%)</w:t>
      </w:r>
      <w:r>
        <w:t>. Os extremos são raros (nota 3 em 6 amostras; nota 4 em 33; nota 8 em 15). Esse padrão é típico de avaliações humanas, que evitam extremos. Na prática, o desafio real não é separar um vinho péssimo de um excelente, mas o “mediano” do “bom” — fronteira sutil que limita o teto de desempenho.</w:t>
      </w:r>
    </w:p>
    <w:p w:rsidR="00400804" w:rsidRDefault="00400804" w14:paraId="51864F45" w14:textId="77777777">
      <w:pPr>
        <w:spacing w:after="120" w:line="264" w:lineRule="auto"/>
        <w:jc w:val="both"/>
      </w:pPr>
    </w:p>
    <w:p w:rsidR="00391E4F" w:rsidRDefault="00000000" w14:paraId="19AB65F5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260E174" wp14:editId="39B61B26">
            <wp:extent cx="5524500" cy="3524250"/>
            <wp:effectExtent l="0" t="0" r="0" b="0"/>
            <wp:docPr id="1838025643" name="Imagem 18380256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524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530E0" w:rsidP="009530E0" w:rsidRDefault="009530E0" w14:paraId="37D89C62" w14:textId="67D3D739">
      <w:pPr>
        <w:pStyle w:val="Legenda"/>
        <w:jc w:val="center"/>
      </w:pPr>
      <w:bookmarkStart w:name="_Toc233107008" w:id="1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2</w:t>
      </w:r>
      <w:r>
        <w:fldChar w:fldCharType="end"/>
      </w:r>
      <w:r>
        <w:t xml:space="preserve"> – </w:t>
      </w:r>
      <w:r w:rsidRPr="00454037">
        <w:t>Distribuição das notas de qualidade na base limpa (n = 1.018).</w:t>
      </w:r>
      <w:bookmarkEnd w:id="15"/>
    </w:p>
    <w:p w:rsidR="00A43735" w:rsidRDefault="00A43735" w14:paraId="20FFAABA" w14:textId="77777777">
      <w:pPr>
        <w:rPr>
          <w:b/>
          <w:bCs/>
          <w:color w:val="2F5496"/>
          <w:sz w:val="25"/>
          <w:szCs w:val="25"/>
        </w:rPr>
      </w:pPr>
      <w:r>
        <w:br w:type="page"/>
      </w:r>
    </w:p>
    <w:p w:rsidR="00391E4F" w:rsidRDefault="00000000" w14:paraId="5E370C40" w14:textId="31C300BA">
      <w:pPr>
        <w:pStyle w:val="Ttulo2"/>
      </w:pPr>
      <w:bookmarkStart w:name="_Toc233109761" w:id="16"/>
      <w:r>
        <w:t>2.3 Balanceamento das classes e a solução adotada</w:t>
      </w:r>
      <w:bookmarkEnd w:id="16"/>
    </w:p>
    <w:p w:rsidR="00391E4F" w:rsidRDefault="00000000" w14:paraId="00DDDCD4" w14:textId="77777777">
      <w:pPr>
        <w:spacing w:after="120" w:line="264" w:lineRule="auto"/>
        <w:jc w:val="both"/>
      </w:pPr>
      <w:r>
        <w:t xml:space="preserve">Com o corte ≥ 7, a base fica fortemente desequilibrada (137 de alta × 881 de baixa/média). Nesse cenário, um modelo ingênuo que classificasse todo vinho como “baixa/média” acertaria </w:t>
      </w:r>
      <w:r>
        <w:rPr>
          <w:b/>
          <w:bCs/>
        </w:rPr>
        <w:t>86,5%</w:t>
      </w:r>
      <w:r>
        <w:t xml:space="preserve"> das vezes — sem nunca identificar um único vinho de alta qualidade. É a </w:t>
      </w:r>
      <w:r>
        <w:rPr>
          <w:b/>
          <w:bCs/>
        </w:rPr>
        <w:t>armadilha da acurácia</w:t>
      </w:r>
      <w:r>
        <w:t xml:space="preserve">. A solução tem dois níveis: na definição do problema, o corte ≥ 6 equilibra as classes na origem (≈ 54/46); no algoritmo, para o corte ≥ 7, aplica-se </w:t>
      </w:r>
      <w:proofErr w:type="spellStart"/>
      <w:r>
        <w:t>class_weight</w:t>
      </w:r>
      <w:proofErr w:type="spellEnd"/>
      <w:r>
        <w:t xml:space="preserve"> = '</w:t>
      </w:r>
      <w:proofErr w:type="spellStart"/>
      <w:r>
        <w:t>balanced</w:t>
      </w:r>
      <w:proofErr w:type="spellEnd"/>
      <w:r>
        <w:t>' (Seção 4.2).</w:t>
      </w:r>
    </w:p>
    <w:p w:rsidR="00400804" w:rsidRDefault="00400804" w14:paraId="02998964" w14:textId="77777777">
      <w:pPr>
        <w:spacing w:after="120" w:line="264" w:lineRule="auto"/>
        <w:jc w:val="both"/>
      </w:pPr>
    </w:p>
    <w:p w:rsidR="00391E4F" w:rsidRDefault="00000000" w14:paraId="5A6D61DE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A3C5759" wp14:editId="17EFC34E">
            <wp:extent cx="5524500" cy="2486025"/>
            <wp:effectExtent l="0" t="0" r="0" b="0"/>
            <wp:docPr id="2129132924" name="Imagem 21291329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486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9530E0" w14:paraId="31506BF9" w14:textId="19028C79">
      <w:pPr>
        <w:pStyle w:val="Legenda"/>
        <w:jc w:val="center"/>
      </w:pPr>
      <w:bookmarkStart w:name="_Toc233107009" w:id="1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3</w:t>
      </w:r>
      <w:r>
        <w:fldChar w:fldCharType="end"/>
      </w:r>
      <w:r>
        <w:t xml:space="preserve"> – </w:t>
      </w:r>
      <w:r w:rsidRPr="005D46FE">
        <w:t>Balanceamento das classes nos dois limiares.</w:t>
      </w:r>
      <w:bookmarkEnd w:id="17"/>
      <w:r>
        <w:t xml:space="preserve"> </w:t>
      </w:r>
    </w:p>
    <w:p w:rsidR="00391E4F" w:rsidRDefault="00000000" w14:paraId="754B0B17" w14:textId="36120E25">
      <w:pPr>
        <w:pStyle w:val="Ttulo2"/>
      </w:pPr>
      <w:bookmarkStart w:name="_Toc233109762" w:id="18"/>
      <w:r>
        <w:t>2.4 Distribuição das variáveis</w:t>
      </w:r>
      <w:bookmarkEnd w:id="18"/>
    </w:p>
    <w:p w:rsidR="00391E4F" w:rsidP="00A43735" w:rsidRDefault="00000000" w14:paraId="5AF5772D" w14:textId="77777777">
      <w:r>
        <w:t xml:space="preserve">O teor alcoólico é quase simétrico; a acidez volátil, os cloretos e o açúcar residual são assimétricos à direita (caudas longas → indício de outliers); o ácido cítrico sugere leve </w:t>
      </w:r>
      <w:proofErr w:type="spellStart"/>
      <w:r>
        <w:t>bimodalidade</w:t>
      </w:r>
      <w:proofErr w:type="spellEnd"/>
      <w:r>
        <w:t xml:space="preserve">. Modelos lineares (Regressão Logística) são, em princípio, mais sensíveis a distribuições assimétricas que os de árvore — ponto </w:t>
      </w:r>
      <w:r>
        <w:rPr>
          <w:b/>
          <w:bCs/>
        </w:rPr>
        <w:t>testado empiricamente na Seção 3.4</w:t>
      </w:r>
      <w:r>
        <w:t>, onde mostramos que a assimetria não é o gargalo neste problema.</w:t>
      </w:r>
    </w:p>
    <w:p w:rsidR="00391E4F" w:rsidRDefault="00000000" w14:paraId="15E9E2ED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424563C" wp14:editId="610D1FE6">
            <wp:extent cx="5524500" cy="3600450"/>
            <wp:effectExtent l="0" t="0" r="0" b="0"/>
            <wp:docPr id="17725798" name="Imagem 177257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60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9530E0" w:rsidR="00391E4F" w:rsidP="009530E0" w:rsidRDefault="009530E0" w14:paraId="48B34EF3" w14:textId="3DBD2E09">
      <w:pPr>
        <w:pStyle w:val="Legenda"/>
        <w:jc w:val="center"/>
      </w:pPr>
      <w:bookmarkStart w:name="_Toc233107010" w:id="19"/>
      <w:r w:rsidRPr="009530E0">
        <w:t xml:space="preserve">Figura </w:t>
      </w:r>
      <w:r w:rsidRPr="009530E0">
        <w:fldChar w:fldCharType="begin"/>
      </w:r>
      <w:r w:rsidRPr="009530E0">
        <w:instrText xml:space="preserve"> SEQ Figura \* ARABIC </w:instrText>
      </w:r>
      <w:r w:rsidRPr="009530E0">
        <w:fldChar w:fldCharType="separate"/>
      </w:r>
      <w:r w:rsidR="00272343">
        <w:rPr>
          <w:noProof/>
        </w:rPr>
        <w:t>4</w:t>
      </w:r>
      <w:r w:rsidRPr="009530E0">
        <w:fldChar w:fldCharType="end"/>
      </w:r>
      <w:r w:rsidRPr="009530E0">
        <w:t xml:space="preserve"> - Histogramas das onze variáveis físico-químicas.</w:t>
      </w:r>
      <w:bookmarkEnd w:id="19"/>
    </w:p>
    <w:p w:rsidR="00391E4F" w:rsidRDefault="00000000" w14:paraId="21E8AA9A" w14:textId="77777777">
      <w:pPr>
        <w:spacing w:after="120" w:line="264" w:lineRule="auto"/>
        <w:jc w:val="both"/>
      </w:pPr>
      <w:r>
        <w:t>A tabela a seguir consolida as estatísticas descritivas das onze variáveis físico-químicas e da nota de qualidade, sobre a base limpa (n = 1.018), oferecendo a visão quantitativa que complementa os histogramas.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60"/>
        <w:gridCol w:w="1380"/>
        <w:gridCol w:w="1380"/>
        <w:gridCol w:w="1380"/>
        <w:gridCol w:w="1380"/>
        <w:gridCol w:w="1380"/>
      </w:tblGrid>
      <w:tr w:rsidR="00391E4F" w14:paraId="4EAD865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E5A61E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622B461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Média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C6E9AD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Mediana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38283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Desvio-padrão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76C9417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Mínimo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79E75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Máximo</w:t>
            </w:r>
          </w:p>
        </w:tc>
      </w:tr>
      <w:tr w:rsidR="00391E4F" w14:paraId="2BB6C36C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206BFB8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Acidez fixa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7F5DE1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8,289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E55257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7,9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8C1B2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1,741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0FA92D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4,6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7E01C9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15,9</w:t>
            </w:r>
          </w:p>
        </w:tc>
      </w:tr>
      <w:tr w:rsidR="00391E4F" w14:paraId="720BE512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D73E0E6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Acidez volátil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87A92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0,534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C710F9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86FE63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0,183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DF2FB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83706C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1,58</w:t>
            </w:r>
          </w:p>
        </w:tc>
      </w:tr>
      <w:tr w:rsidR="00391E4F" w14:paraId="72A53207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5FC937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Ácido cítrico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EB72F8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0,269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4A815A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0,25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F52A06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0,196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E12E6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BDA66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</w:tr>
      <w:tr w:rsidR="00391E4F" w14:paraId="36DFA39D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7D1F5E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Açúcar residual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929377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2,524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425DD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6162FF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1,315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C3AAEB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24D346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15,5</w:t>
            </w:r>
          </w:p>
        </w:tc>
      </w:tr>
      <w:tr w:rsidR="00391E4F" w14:paraId="1BCF6615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C949C38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Cloretos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C39F68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0,087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B4296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0,079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8A55EB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0,049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3037F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0,012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3E037F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0,611</w:t>
            </w:r>
          </w:p>
        </w:tc>
      </w:tr>
      <w:tr w:rsidR="00391E4F" w14:paraId="71E5941E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E8BF051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Dióxido de enxofre livre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98F589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15,649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B45D0B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13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643FF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10,177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0F5BD0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E6132C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68</w:t>
            </w:r>
          </w:p>
        </w:tc>
      </w:tr>
      <w:tr w:rsidR="00391E4F" w14:paraId="195365DA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F7039F6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Dióxido de enxofre total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6C5DF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46,326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B5DD77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38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210C4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33,124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E03A1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52220D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289</w:t>
            </w:r>
          </w:p>
        </w:tc>
      </w:tr>
      <w:tr w:rsidR="00391E4F" w14:paraId="2BA748A1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F770C13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Densidade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517115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0,997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101FC2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0,997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433E03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0,002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2DEC6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0,99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D33BB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1,004</w:t>
            </w:r>
          </w:p>
        </w:tc>
      </w:tr>
      <w:tr w:rsidR="00391E4F" w14:paraId="0A9AD43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9A1E48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pH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288892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3,312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B032EB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3,31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4249C5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0,158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8F934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2,74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E12999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4,01</w:t>
            </w:r>
          </w:p>
        </w:tc>
      </w:tr>
      <w:tr w:rsidR="00391E4F" w14:paraId="2582E76F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CB9805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Sulfatos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93DC7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0,657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C7CD92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CA3A1E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0,168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C871AF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0,33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622863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</w:t>
            </w:r>
          </w:p>
        </w:tc>
      </w:tr>
      <w:tr w:rsidR="00391E4F" w14:paraId="60232204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9F55AE0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Teor alcoólico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4AC1D2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10,452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9E6B8C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10,2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34BAE2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1,095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965757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8,4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58723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14,9</w:t>
            </w:r>
          </w:p>
        </w:tc>
      </w:tr>
      <w:tr w:rsidR="00391E4F" w14:paraId="4EBECF3A" w14:textId="77777777">
        <w:tblPrEx>
          <w:tblCellMar>
            <w:top w:w="0" w:type="dxa"/>
            <w:bottom w:w="0" w:type="dxa"/>
          </w:tblCellMar>
        </w:tblPrEx>
        <w:tc>
          <w:tcPr>
            <w:tcW w:w="24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EDCD276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Qualidade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82DEF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5,641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FB1A63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42740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0,812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96B226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</w:t>
            </w:r>
          </w:p>
        </w:tc>
        <w:tc>
          <w:tcPr>
            <w:tcW w:w="138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E131FF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8</w:t>
            </w:r>
          </w:p>
        </w:tc>
      </w:tr>
    </w:tbl>
    <w:p w:rsidRPr="009530E0" w:rsidR="009530E0" w:rsidP="009530E0" w:rsidRDefault="009530E0" w14:paraId="01A8EDA6" w14:textId="71E45687">
      <w:pPr>
        <w:spacing w:before="60" w:after="180"/>
        <w:jc w:val="center"/>
        <w:rPr>
          <w:i/>
          <w:iCs/>
          <w:color w:val="595959"/>
          <w:sz w:val="18"/>
          <w:szCs w:val="18"/>
        </w:rPr>
      </w:pPr>
      <w:bookmarkStart w:name="_Toc233107166" w:id="20"/>
      <w:bookmarkStart w:name="_Toc233107420" w:id="21"/>
      <w:r w:rsidRPr="009530E0">
        <w:rPr>
          <w:i/>
          <w:iCs/>
          <w:color w:val="595959"/>
          <w:sz w:val="18"/>
          <w:szCs w:val="18"/>
        </w:rPr>
        <w:t xml:space="preserve">Tabela </w:t>
      </w:r>
      <w:r w:rsidRPr="009530E0">
        <w:rPr>
          <w:i/>
          <w:iCs/>
          <w:color w:val="595959"/>
          <w:sz w:val="18"/>
          <w:szCs w:val="18"/>
        </w:rPr>
        <w:fldChar w:fldCharType="begin"/>
      </w:r>
      <w:r w:rsidRPr="009530E0">
        <w:rPr>
          <w:i/>
          <w:iCs/>
          <w:color w:val="595959"/>
          <w:sz w:val="18"/>
          <w:szCs w:val="18"/>
        </w:rPr>
        <w:instrText xml:space="preserve"> SEQ Tabela \* ARABIC </w:instrText>
      </w:r>
      <w:r w:rsidRPr="009530E0">
        <w:rPr>
          <w:i/>
          <w:iCs/>
          <w:color w:val="595959"/>
          <w:sz w:val="18"/>
          <w:szCs w:val="18"/>
        </w:rPr>
        <w:fldChar w:fldCharType="separate"/>
      </w:r>
      <w:r w:rsidR="00272343">
        <w:rPr>
          <w:i/>
          <w:iCs/>
          <w:noProof/>
          <w:color w:val="595959"/>
          <w:sz w:val="18"/>
          <w:szCs w:val="18"/>
        </w:rPr>
        <w:t>2</w:t>
      </w:r>
      <w:r w:rsidRPr="009530E0">
        <w:rPr>
          <w:i/>
          <w:iCs/>
          <w:color w:val="595959"/>
          <w:sz w:val="18"/>
          <w:szCs w:val="18"/>
        </w:rPr>
        <w:fldChar w:fldCharType="end"/>
      </w:r>
      <w:r w:rsidRPr="009530E0">
        <w:rPr>
          <w:i/>
          <w:iCs/>
          <w:color w:val="595959"/>
          <w:sz w:val="18"/>
          <w:szCs w:val="18"/>
        </w:rPr>
        <w:t xml:space="preserve"> - Estatística descritiva das variáveis (base limpa, n = 1.018).</w:t>
      </w:r>
      <w:bookmarkEnd w:id="20"/>
      <w:bookmarkEnd w:id="21"/>
    </w:p>
    <w:p w:rsidR="001A141D" w:rsidRDefault="001A141D" w14:paraId="6C817392" w14:textId="77777777">
      <w:pPr>
        <w:rPr>
          <w:b/>
          <w:bCs/>
          <w:color w:val="2F5496"/>
          <w:sz w:val="25"/>
          <w:szCs w:val="25"/>
        </w:rPr>
      </w:pPr>
      <w:r>
        <w:br w:type="page"/>
      </w:r>
    </w:p>
    <w:p w:rsidR="00391E4F" w:rsidRDefault="00000000" w14:paraId="493C18A4" w14:textId="746BF420">
      <w:pPr>
        <w:pStyle w:val="Ttulo2"/>
      </w:pPr>
      <w:bookmarkStart w:name="_Toc233109763" w:id="22"/>
      <w:r>
        <w:t>2.5 Detecção de outliers (método IQR)</w:t>
      </w:r>
      <w:bookmarkEnd w:id="22"/>
    </w:p>
    <w:p w:rsidR="00391E4F" w:rsidRDefault="00000000" w14:paraId="218A371A" w14:textId="77777777">
      <w:pPr>
        <w:spacing w:after="120" w:line="264" w:lineRule="auto"/>
        <w:jc w:val="both"/>
      </w:pPr>
      <w:r>
        <w:t>Aplicou-se o método do intervalo interquartil (IQR): é outlier o valor fora de [Q1 − 1,5·</w:t>
      </w:r>
      <w:proofErr w:type="gramStart"/>
      <w:r>
        <w:t>IQR ;</w:t>
      </w:r>
      <w:proofErr w:type="gramEnd"/>
      <w:r>
        <w:t xml:space="preserve"> Q3 + 1,5·IQR]. A decisão de governança, documentada, foi manter esses valores: (1) todos os extremos são fisicamente plausíveis para vinhos tintos; (2) os modelos de árvore são robustos a outliers; (3) a padronização reduz seu impacto na Regressão Logística. Remover outliers reais sem justificativa física descartaria informação legítima.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760"/>
        <w:gridCol w:w="1800"/>
        <w:gridCol w:w="1800"/>
      </w:tblGrid>
      <w:tr w:rsidR="00391E4F" w14:paraId="1E51732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E70AD05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Variável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3AA8B15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Outliers (n)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0A67E8B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% da base</w:t>
            </w:r>
          </w:p>
        </w:tc>
      </w:tr>
      <w:tr w:rsidR="00391E4F" w14:paraId="02556D02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5BADAFC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Açúcar residual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6FC42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95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C4AE0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9,3%</w:t>
            </w:r>
          </w:p>
        </w:tc>
      </w:tr>
      <w:tr w:rsidR="00391E4F" w14:paraId="12F79A0C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243A21F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Cloretos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7AF422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71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98A8AB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7%</w:t>
            </w:r>
          </w:p>
        </w:tc>
      </w:tr>
      <w:tr w:rsidR="00391E4F" w14:paraId="2AAE68C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FDD677F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Sulfatos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BD8424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41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272D6F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4%</w:t>
            </w:r>
          </w:p>
        </w:tc>
      </w:tr>
      <w:tr w:rsidR="00391E4F" w14:paraId="27C8569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FF73F7C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Acidez fixa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4B6F0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37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EF70D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3,6%</w:t>
            </w:r>
          </w:p>
        </w:tc>
      </w:tr>
      <w:tr w:rsidR="00391E4F" w14:paraId="2E2D739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AE0BE9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Dióxido de enxofre total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F0BC08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33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0E722C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3,2%</w:t>
            </w:r>
          </w:p>
        </w:tc>
      </w:tr>
      <w:tr w:rsidR="00391E4F" w14:paraId="38B170B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B794FD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Densidade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DDB656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30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4CF1DA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2,9%</w:t>
            </w:r>
          </w:p>
        </w:tc>
      </w:tr>
      <w:tr w:rsidR="00391E4F" w14:paraId="682F8341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3D657D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pH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6B137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24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6D5EE9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2,4%</w:t>
            </w:r>
          </w:p>
        </w:tc>
      </w:tr>
      <w:tr w:rsidR="00391E4F" w14:paraId="55AC12B3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CB3161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Dióxido de enxofre livre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B3204C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16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8EDCBB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1,6%</w:t>
            </w:r>
          </w:p>
        </w:tc>
      </w:tr>
      <w:tr w:rsidR="00391E4F" w14:paraId="5FE1E009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5564F4B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Acidez volátil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B2CCA2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10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545F8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1%</w:t>
            </w:r>
          </w:p>
        </w:tc>
      </w:tr>
      <w:tr w:rsidR="00391E4F" w14:paraId="37E7648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75CAE3B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Teor alcoólico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994FC0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6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95764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0,6%</w:t>
            </w:r>
          </w:p>
        </w:tc>
      </w:tr>
      <w:tr w:rsidR="00391E4F" w14:paraId="641868DD" w14:textId="77777777">
        <w:tblPrEx>
          <w:tblCellMar>
            <w:top w:w="0" w:type="dxa"/>
            <w:bottom w:w="0" w:type="dxa"/>
          </w:tblCellMar>
        </w:tblPrEx>
        <w:tc>
          <w:tcPr>
            <w:tcW w:w="5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309382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Ácido cítrico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3BB520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1</w:t>
            </w:r>
          </w:p>
        </w:tc>
        <w:tc>
          <w:tcPr>
            <w:tcW w:w="1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47DDE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0,1%</w:t>
            </w:r>
          </w:p>
        </w:tc>
      </w:tr>
    </w:tbl>
    <w:p w:rsidR="009530E0" w:rsidP="009530E0" w:rsidRDefault="009530E0" w14:paraId="6834973E" w14:textId="198EA364">
      <w:pPr>
        <w:pStyle w:val="Legenda"/>
        <w:keepNext/>
        <w:jc w:val="center"/>
      </w:pPr>
      <w:bookmarkStart w:name="_Toc233107167" w:id="23"/>
      <w:bookmarkStart w:name="_Toc233107421" w:id="2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3</w:t>
      </w:r>
      <w:r>
        <w:fldChar w:fldCharType="end"/>
      </w:r>
      <w:r>
        <w:t xml:space="preserve"> - </w:t>
      </w:r>
      <w:r w:rsidRPr="00B95ACF">
        <w:t>Contagem de outliers por variável (método IQR), sobre a base limpa.</w:t>
      </w:r>
      <w:bookmarkEnd w:id="23"/>
      <w:bookmarkEnd w:id="24"/>
    </w:p>
    <w:p w:rsidR="00391E4F" w:rsidRDefault="00000000" w14:paraId="05ADED73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F8DAE2B" wp14:editId="095F8BE1">
            <wp:extent cx="5524500" cy="1914525"/>
            <wp:effectExtent l="0" t="0" r="0" b="0"/>
            <wp:docPr id="889128470" name="Imagem 8891284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9530E0" w14:paraId="7C7B118A" w14:textId="065841F6">
      <w:pPr>
        <w:pStyle w:val="Legenda"/>
        <w:jc w:val="center"/>
      </w:pPr>
      <w:bookmarkStart w:name="_Toc233107011" w:id="25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5</w:t>
      </w:r>
      <w:r>
        <w:fldChar w:fldCharType="end"/>
      </w:r>
      <w:r>
        <w:t xml:space="preserve"> - </w:t>
      </w:r>
      <w:proofErr w:type="spellStart"/>
      <w:r w:rsidRPr="00162548">
        <w:t>Boxplots</w:t>
      </w:r>
      <w:proofErr w:type="spellEnd"/>
      <w:r w:rsidRPr="00162548">
        <w:t xml:space="preserve"> das três variáveis com maior incidência de outliers (mantidos na base).</w:t>
      </w:r>
      <w:bookmarkEnd w:id="25"/>
    </w:p>
    <w:p w:rsidR="00A43735" w:rsidRDefault="00A43735" w14:paraId="583C698A" w14:textId="77777777">
      <w:pPr>
        <w:rPr>
          <w:b/>
          <w:bCs/>
          <w:color w:val="2F5496"/>
          <w:sz w:val="25"/>
          <w:szCs w:val="25"/>
        </w:rPr>
      </w:pPr>
      <w:r>
        <w:br w:type="page"/>
      </w:r>
    </w:p>
    <w:p w:rsidR="00391E4F" w:rsidRDefault="00000000" w14:paraId="185CE740" w14:textId="6A08373F">
      <w:pPr>
        <w:pStyle w:val="Ttulo2"/>
      </w:pPr>
      <w:bookmarkStart w:name="_Toc233109764" w:id="26"/>
      <w:r>
        <w:t>2.6 Correlações com olhar de negócio</w:t>
      </w:r>
      <w:bookmarkEnd w:id="26"/>
    </w:p>
    <w:p w:rsidR="00391E4F" w:rsidRDefault="00000000" w14:paraId="3F204F5A" w14:textId="77777777">
      <w:pPr>
        <w:spacing w:after="120" w:line="264" w:lineRule="auto"/>
        <w:jc w:val="both"/>
      </w:pPr>
      <w:r>
        <w:t>Ressalva: a correlação de Pearson mede associação linear, não causalidade, e não capta relações não lineares — por isso a complementamos adiante com a floresta e o SHAP (Seção 7). A seguir, justifica-se a associação de cada uma das onze variáveis com a nota de qualidade, da mais positiva à mais negativa:</w:t>
      </w:r>
    </w:p>
    <w:p w:rsidR="00391E4F" w:rsidRDefault="00000000" w14:paraId="55910603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Teor alcoólico (+0,486)</w:t>
      </w:r>
      <w:r>
        <w:t xml:space="preserve"> — preditor positivo mais forte; teores mais altos acompanham vinhos mais encorpados e maduros, percebidos como de maior qualidade.</w:t>
      </w:r>
    </w:p>
    <w:p w:rsidR="00391E4F" w:rsidRDefault="00000000" w14:paraId="37A08485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Sulfatos (+0,258)</w:t>
      </w:r>
      <w:r>
        <w:t xml:space="preserve"> — atuam como conservante e antioxidante (estabilidade microbiológica); em níveis adequados preservam aroma e cor, favorecendo a nota.</w:t>
      </w:r>
    </w:p>
    <w:p w:rsidR="00391E4F" w:rsidRDefault="00000000" w14:paraId="2408BD95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Ácido cítrico (+0,242)</w:t>
      </w:r>
      <w:r>
        <w:t xml:space="preserve"> — em pequena quantidade adiciona frescor e vivacidade, contribuindo para o equilíbrio sensorial.</w:t>
      </w:r>
    </w:p>
    <w:p w:rsidR="00391E4F" w:rsidRDefault="00000000" w14:paraId="7E5DB9BE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Acidez fixa (+0,116)</w:t>
      </w:r>
      <w:r>
        <w:t xml:space="preserve"> — correlação positiva fraca; os ácidos não voláteis (sobretudo o tartárico) dão estrutura, mas o efeito isolado sobre a nota é modesto.</w:t>
      </w:r>
    </w:p>
    <w:p w:rsidR="00391E4F" w:rsidRDefault="00000000" w14:paraId="6CABAC33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Açúcar residual (+0,023)</w:t>
      </w:r>
      <w:r>
        <w:t xml:space="preserve"> — correlação praticamente nula; em tintos secos varia pouco e quase não distingue qualidade de forma linear, embora possa ter efeito não linear captável pelas árvores.</w:t>
      </w:r>
    </w:p>
    <w:p w:rsidR="00391E4F" w:rsidRDefault="00000000" w14:paraId="10FA1C3D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pH (-0,058)</w:t>
      </w:r>
      <w:r>
        <w:t xml:space="preserve"> — correlação muito fraca; o pH é consequência da acidez (já representada por outras variáveis), com efeito direto pequeno sobre a nota.</w:t>
      </w:r>
    </w:p>
    <w:p w:rsidR="00391E4F" w:rsidRDefault="00000000" w14:paraId="6619FF7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Dióxido de enxofre livre (-0,071)</w:t>
      </w:r>
      <w:r>
        <w:t xml:space="preserve"> — correlação muito fraca; protege contra a oxidação, mas em excesso gera aroma pungente, de modo que o efeito líquido é quase neutro.</w:t>
      </w:r>
    </w:p>
    <w:p w:rsidR="00391E4F" w:rsidRDefault="00000000" w14:paraId="0E695D22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Cloretos (-0,122)</w:t>
      </w:r>
      <w:r>
        <w:t xml:space="preserve"> — refletem o teor de sal; níveis elevados conferem sabor salgado indesejado, prejudicando a percepção de qualidade.</w:t>
      </w:r>
    </w:p>
    <w:p w:rsidR="00391E4F" w:rsidRDefault="00000000" w14:paraId="7B2694F9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Dióxido de enxofre total (-0,182)</w:t>
      </w:r>
      <w:r>
        <w:t xml:space="preserve"> — o excesso sinaliza maior necessidade de conservação e pode produzir aromas e sabores indesejados, associando-se a notas menores.</w:t>
      </w:r>
    </w:p>
    <w:p w:rsidR="00391E4F" w:rsidRDefault="00000000" w14:paraId="122E1A6F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Densidade (-0,185)</w:t>
      </w:r>
      <w:r>
        <w:t xml:space="preserve"> — depende do álcool e do açúcar; densidade menor acompanha mais álcool e menos açúcar, combinação ligada a notas mais altas — daí a correlação negativa.</w:t>
      </w:r>
    </w:p>
    <w:p w:rsidR="00391E4F" w:rsidRDefault="00000000" w14:paraId="0DB8BF1D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rPr>
          <w:b/>
          <w:bCs/>
        </w:rPr>
        <w:t>Acidez volátil (-0,409)</w:t>
      </w:r>
      <w:r>
        <w:t xml:space="preserve"> — preditor negativo mais forte; valores altos (ácido acético) sinalizam deterioração e </w:t>
      </w:r>
      <w:proofErr w:type="spellStart"/>
      <w:r>
        <w:t>avinagramento</w:t>
      </w:r>
      <w:proofErr w:type="spellEnd"/>
      <w:r>
        <w:t>, um defeito sensorial claro.</w:t>
      </w:r>
    </w:p>
    <w:p w:rsidR="00391E4F" w:rsidRDefault="00000000" w14:paraId="03886426" w14:textId="77777777">
      <w:pPr>
        <w:spacing w:after="120" w:line="264" w:lineRule="auto"/>
        <w:jc w:val="both"/>
      </w:pPr>
      <w:r>
        <w:rPr>
          <w:b/>
          <w:bCs/>
        </w:rPr>
        <w:t>Correlações entre as variáveis (mapa comentado):</w:t>
      </w:r>
      <w:r>
        <w:t xml:space="preserve"> como justificar individualmente cada um dos 55 pares seria pouco informativo, destacam-se os blocos com significado químico, que são os que importam para a modelagem. A acidez fixa forma o “esqueleto ácido” do vinho, correlacionando-se com o ácido cítrico (+0,67) e a densidade (+0,67) e, de forma inversa, com o pH (-0,69) — relação esperada, pois mais ácido implica menor pH. O teor alcoólico e a densidade caminham juntos (-0,50), já que o álcool é menos denso que a água. O dióxido de enxofre livre e o total medem o mesmo conservante em frações diferentes (+0,66). Esses agrupamentos antecipam a </w:t>
      </w:r>
      <w:proofErr w:type="spellStart"/>
      <w:r>
        <w:t>multicolinearidade</w:t>
      </w:r>
      <w:proofErr w:type="spellEnd"/>
      <w:r>
        <w:t xml:space="preserve"> tratada na Seção 2.8 (VIF) e mostram por que a correlação linear não capta as interações não lineares exploradas pela floresta e reveladas pelo SHAP (Seção 7).</w:t>
      </w:r>
    </w:p>
    <w:p w:rsidR="00391E4F" w:rsidP="001A141D" w:rsidRDefault="00000000" w14:paraId="2276CA84" w14:textId="77777777">
      <w:pPr>
        <w:keepNext/>
        <w:jc w:val="center"/>
      </w:pPr>
      <w:r>
        <w:rPr>
          <w:noProof/>
        </w:rPr>
        <w:drawing>
          <wp:inline distT="0" distB="0" distL="0" distR="0" wp14:anchorId="3185EB90" wp14:editId="5FEDB80C">
            <wp:extent cx="4851247" cy="2835470"/>
            <wp:effectExtent l="0" t="0" r="635" b="0"/>
            <wp:docPr id="838419614" name="Imagem 8384196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19752" cy="2875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9530E0" w14:paraId="4243F315" w14:textId="6A556851">
      <w:pPr>
        <w:pStyle w:val="Legenda"/>
        <w:jc w:val="center"/>
      </w:pPr>
      <w:bookmarkStart w:name="_Toc233107012" w:id="2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6</w:t>
      </w:r>
      <w:r>
        <w:fldChar w:fldCharType="end"/>
      </w:r>
      <w:r>
        <w:t xml:space="preserve"> - </w:t>
      </w:r>
      <w:r w:rsidRPr="00DE4CAD">
        <w:t>Correlação de Pearson de cada variável com a nota de qualidade.</w:t>
      </w:r>
      <w:bookmarkEnd w:id="27"/>
    </w:p>
    <w:p w:rsidR="00391E4F" w:rsidP="001A141D" w:rsidRDefault="00000000" w14:paraId="43D15142" w14:textId="77777777">
      <w:pPr>
        <w:keepNext/>
        <w:spacing w:before="100" w:after="40" w:line="276" w:lineRule="auto"/>
        <w:jc w:val="center"/>
      </w:pPr>
      <w:r>
        <w:rPr>
          <w:noProof/>
        </w:rPr>
        <w:drawing>
          <wp:inline distT="0" distB="0" distL="0" distR="0" wp14:anchorId="28E07F17" wp14:editId="32FA4F03">
            <wp:extent cx="5315413" cy="4747214"/>
            <wp:effectExtent l="0" t="0" r="0" b="3175"/>
            <wp:docPr id="572257157" name="Imagem 5722571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1381" cy="476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9530E0" w14:paraId="502728A4" w14:textId="6F1CA428">
      <w:pPr>
        <w:pStyle w:val="Legenda"/>
        <w:jc w:val="center"/>
      </w:pPr>
      <w:bookmarkStart w:name="_Toc233107013" w:id="28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7</w:t>
      </w:r>
      <w:r>
        <w:fldChar w:fldCharType="end"/>
      </w:r>
      <w:r>
        <w:t xml:space="preserve"> - </w:t>
      </w:r>
      <w:r w:rsidRPr="00AB1E82">
        <w:t>Mapa de calor das correlações entre todas as variáveis.</w:t>
      </w:r>
      <w:bookmarkEnd w:id="28"/>
    </w:p>
    <w:p w:rsidR="00391E4F" w:rsidRDefault="00000000" w14:paraId="094F095A" w14:textId="77777777">
      <w:pPr>
        <w:pStyle w:val="Ttulo2"/>
      </w:pPr>
      <w:bookmarkStart w:name="_Toc233109765" w:id="29"/>
      <w:r>
        <w:t>2.7 Poder discriminante por classe</w:t>
      </w:r>
      <w:bookmarkEnd w:id="29"/>
    </w:p>
    <w:p w:rsidR="00391E4F" w:rsidRDefault="00000000" w14:paraId="38267925" w14:textId="77777777">
      <w:pPr>
        <w:spacing w:after="120" w:line="264" w:lineRule="auto"/>
        <w:jc w:val="both"/>
      </w:pPr>
      <w:r>
        <w:t>Atendendo a uma sugestão de revisão, comparamos a distribuição de cada variável-chave entre as duas classes (corte ≥ 6). O contraste visual confirma os preditores: a classe Alta tem álcool e sulfatos mais altos e acidez volátil e SO₂ total mais baixos — a tradução gráfica do que os modelos exploram.</w:t>
      </w:r>
    </w:p>
    <w:p w:rsidR="00391E4F" w:rsidRDefault="00000000" w14:paraId="370243CE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196AB1C" wp14:editId="7AC37511">
            <wp:extent cx="5524500" cy="3238500"/>
            <wp:effectExtent l="0" t="0" r="0" b="1905"/>
            <wp:docPr id="1799210839" name="Imagem 17992108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9530E0" w:rsidRDefault="00CC0BA3" w14:paraId="6CEFF4A0" w14:textId="2ED7C458">
      <w:pPr>
        <w:pStyle w:val="Legenda"/>
        <w:jc w:val="center"/>
      </w:pPr>
      <w:bookmarkStart w:name="_Toc233107014" w:id="30"/>
      <w:r>
        <w:t xml:space="preserve">Figura </w:t>
      </w:r>
      <w:r w:rsidR="009530E0">
        <w:fldChar w:fldCharType="begin"/>
      </w:r>
      <w:r w:rsidR="009530E0">
        <w:instrText xml:space="preserve"> SEQ Figura \* ARABIC </w:instrText>
      </w:r>
      <w:r w:rsidR="009530E0">
        <w:fldChar w:fldCharType="separate"/>
      </w:r>
      <w:r w:rsidR="00272343">
        <w:rPr>
          <w:noProof/>
        </w:rPr>
        <w:t>8</w:t>
      </w:r>
      <w:r w:rsidR="009530E0">
        <w:fldChar w:fldCharType="end"/>
      </w:r>
      <w:r w:rsidR="009530E0">
        <w:t xml:space="preserve"> - </w:t>
      </w:r>
      <w:r w:rsidRPr="00CF607C" w:rsidR="009530E0">
        <w:t>Distribuição das variáveis-chave por classe (corte ≥ 6).</w:t>
      </w:r>
      <w:bookmarkEnd w:id="30"/>
    </w:p>
    <w:p w:rsidR="00391E4F" w:rsidRDefault="00000000" w14:paraId="4C888035" w14:textId="77777777">
      <w:pPr>
        <w:pStyle w:val="Ttulo2"/>
      </w:pPr>
      <w:bookmarkStart w:name="_Toc233109766" w:id="31"/>
      <w:r>
        <w:t xml:space="preserve">2.8 </w:t>
      </w:r>
      <w:proofErr w:type="spellStart"/>
      <w:r>
        <w:t>Multicolinearidade</w:t>
      </w:r>
      <w:proofErr w:type="spellEnd"/>
      <w:r>
        <w:t xml:space="preserve"> (VIF)</w:t>
      </w:r>
      <w:bookmarkEnd w:id="31"/>
    </w:p>
    <w:p w:rsidR="00391E4F" w:rsidRDefault="00000000" w14:paraId="2BAB4241" w14:textId="77777777">
      <w:pPr>
        <w:spacing w:after="120" w:line="264" w:lineRule="auto"/>
        <w:jc w:val="both"/>
      </w:pPr>
      <w:r>
        <w:t>O VIF (</w:t>
      </w:r>
      <w:proofErr w:type="spellStart"/>
      <w:r>
        <w:t>Variance</w:t>
      </w:r>
      <w:proofErr w:type="spellEnd"/>
      <w:r>
        <w:t xml:space="preserve"> </w:t>
      </w:r>
      <w:proofErr w:type="spellStart"/>
      <w:r>
        <w:t>Inflation</w:t>
      </w:r>
      <w:proofErr w:type="spellEnd"/>
      <w:r>
        <w:t xml:space="preserve"> Factor) mede o quanto a variância do coeficiente de uma variável é inflada por sua correlação com as demais (regra: &gt; 5 = atenção; &gt; 10 = severo). Aqui, </w:t>
      </w:r>
      <w:r>
        <w:rPr>
          <w:b/>
          <w:bCs/>
        </w:rPr>
        <w:t>acidez fixa (≈ 8,0) e densidade (≈ 6,6)</w:t>
      </w:r>
      <w:r>
        <w:t xml:space="preserve"> ultrapassam 5 — coerente com o mapa de calor. Implicação: os coeficientes dessas variáveis na Regressão Logística pedem cautela; o poder preditivo não é prejudicado. As dominantes (álcool, sulfatos, acidez volátil) têm VIF baixo, logo interpretação estável.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6360"/>
        <w:gridCol w:w="3000"/>
      </w:tblGrid>
      <w:tr w:rsidRPr="00EC421C" w:rsidR="00391E4F" w:rsidTr="00EC421C" w14:paraId="02CB7B26" w14:textId="77777777">
        <w:tblPrEx>
          <w:tblCellMar>
            <w:top w:w="0" w:type="dxa"/>
            <w:bottom w:w="0" w:type="dxa"/>
          </w:tblCellMar>
        </w:tblPrEx>
        <w:trPr>
          <w:trHeight w:val="169"/>
          <w:tblHeader/>
        </w:trPr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641978A6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b/>
                <w:bCs/>
                <w:color w:val="FFFFFF"/>
                <w:sz w:val="18"/>
                <w:szCs w:val="18"/>
              </w:rPr>
              <w:t>Variável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40366B9F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b/>
                <w:bCs/>
                <w:color w:val="FFFFFF"/>
                <w:sz w:val="18"/>
                <w:szCs w:val="18"/>
              </w:rPr>
              <w:t>VIF</w:t>
            </w:r>
          </w:p>
        </w:tc>
      </w:tr>
      <w:tr w:rsidRPr="00EC421C" w:rsidR="00391E4F" w14:paraId="0478625F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533FFFC0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Acidez fixa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59434344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7,97</w:t>
            </w:r>
          </w:p>
        </w:tc>
      </w:tr>
      <w:tr w:rsidRPr="00EC421C" w:rsidR="00391E4F" w14:paraId="06942D8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196281BF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Densidade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73184ECE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6,62</w:t>
            </w:r>
          </w:p>
        </w:tc>
      </w:tr>
      <w:tr w:rsidRPr="00EC421C" w:rsidR="00391E4F" w14:paraId="14372A6A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7DA41F4F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pH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1C521688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3,48</w:t>
            </w:r>
          </w:p>
        </w:tc>
      </w:tr>
      <w:tr w:rsidRPr="00EC421C" w:rsidR="00391E4F" w14:paraId="75E189A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2362D12B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Teor alcoólico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20FF1BFD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3,29</w:t>
            </w:r>
          </w:p>
        </w:tc>
      </w:tr>
      <w:tr w:rsidRPr="00EC421C" w:rsidR="00391E4F" w14:paraId="436C10B0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686BD111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Ácido cítrico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0B4078EF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3,24</w:t>
            </w:r>
          </w:p>
        </w:tc>
      </w:tr>
      <w:tr w:rsidRPr="00EC421C" w:rsidR="00391E4F" w14:paraId="0DA861AE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23C8FBB1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Dióxido de enxofre total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706C8147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2,12</w:t>
            </w:r>
          </w:p>
        </w:tc>
      </w:tr>
      <w:tr w:rsidRPr="00EC421C" w:rsidR="00391E4F" w14:paraId="11176DB8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0FB7FE72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Dióxido de enxofre livre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20A911AA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1,89</w:t>
            </w:r>
          </w:p>
        </w:tc>
      </w:tr>
      <w:tr w:rsidRPr="00EC421C" w:rsidR="00391E4F" w14:paraId="7316537D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4AD8DFD8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Acidez volátil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7D103D8D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1,77</w:t>
            </w:r>
          </w:p>
        </w:tc>
      </w:tr>
      <w:tr w:rsidRPr="00EC421C" w:rsidR="00391E4F" w14:paraId="02ADA023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3A8DD99F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Açúcar residual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6EE2824C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1,71</w:t>
            </w:r>
          </w:p>
        </w:tc>
      </w:tr>
      <w:tr w:rsidRPr="00EC421C" w:rsidR="00391E4F" w14:paraId="3F899DF4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59E52239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Cloretos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465ED7CD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1,58</w:t>
            </w:r>
          </w:p>
        </w:tc>
      </w:tr>
      <w:tr w:rsidRPr="00EC421C" w:rsidR="00391E4F" w14:paraId="1817E499" w14:textId="77777777">
        <w:tblPrEx>
          <w:tblCellMar>
            <w:top w:w="0" w:type="dxa"/>
            <w:bottom w:w="0" w:type="dxa"/>
          </w:tblCellMar>
        </w:tblPrEx>
        <w:tc>
          <w:tcPr>
            <w:tcW w:w="6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1D7D6240" w14:textId="77777777">
            <w:pPr>
              <w:spacing w:line="248" w:lineRule="auto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Sulfatos</w:t>
            </w:r>
          </w:p>
        </w:tc>
        <w:tc>
          <w:tcPr>
            <w:tcW w:w="3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Pr="00EC421C" w:rsidR="00391E4F" w:rsidRDefault="00000000" w14:paraId="6E2EE519" w14:textId="77777777">
            <w:pPr>
              <w:spacing w:line="248" w:lineRule="auto"/>
              <w:jc w:val="center"/>
              <w:rPr>
                <w:sz w:val="18"/>
                <w:szCs w:val="18"/>
              </w:rPr>
            </w:pPr>
            <w:r w:rsidRPr="00EC421C">
              <w:rPr>
                <w:color w:val="000000"/>
                <w:sz w:val="18"/>
                <w:szCs w:val="18"/>
              </w:rPr>
              <w:t>1,47</w:t>
            </w:r>
          </w:p>
        </w:tc>
      </w:tr>
    </w:tbl>
    <w:p w:rsidRPr="00EC421C" w:rsidR="009530E0" w:rsidP="00EC421C" w:rsidRDefault="009530E0" w14:paraId="585D14A1" w14:textId="62444EAB">
      <w:pPr>
        <w:pStyle w:val="Legenda"/>
        <w:jc w:val="center"/>
      </w:pPr>
      <w:bookmarkStart w:name="_Toc233107168" w:id="32"/>
      <w:bookmarkStart w:name="_Toc233107422" w:id="33"/>
      <w:r w:rsidRPr="00EC421C">
        <w:t xml:space="preserve">Tabela </w:t>
      </w:r>
      <w:r w:rsidRPr="00EC421C">
        <w:fldChar w:fldCharType="begin"/>
      </w:r>
      <w:r w:rsidRPr="00EC421C">
        <w:instrText xml:space="preserve"> SEQ Tabela \* ARABIC </w:instrText>
      </w:r>
      <w:r w:rsidRPr="00EC421C">
        <w:fldChar w:fldCharType="separate"/>
      </w:r>
      <w:r w:rsidR="00272343">
        <w:rPr>
          <w:noProof/>
        </w:rPr>
        <w:t>4</w:t>
      </w:r>
      <w:r w:rsidRPr="00EC421C">
        <w:fldChar w:fldCharType="end"/>
      </w:r>
      <w:r w:rsidRPr="00EC421C">
        <w:t xml:space="preserve"> - Fator de Inflação de Variância por variável (&gt; 5 = atenção).</w:t>
      </w:r>
      <w:bookmarkEnd w:id="32"/>
      <w:bookmarkEnd w:id="33"/>
    </w:p>
    <w:p w:rsidR="00391E4F" w:rsidRDefault="00000000" w14:paraId="6D97741D" w14:textId="77777777">
      <w:pPr>
        <w:pStyle w:val="Ttulo1"/>
      </w:pPr>
      <w:bookmarkStart w:name="_Toc233109767" w:id="34"/>
      <w:r>
        <w:t>3. Pré-Processamento de Dados</w:t>
      </w:r>
      <w:bookmarkEnd w:id="34"/>
    </w:p>
    <w:p w:rsidR="00391E4F" w:rsidRDefault="00000000" w14:paraId="664E7F48" w14:textId="77777777">
      <w:pPr>
        <w:pStyle w:val="Ttulo2"/>
      </w:pPr>
      <w:bookmarkStart w:name="_Toc233109768" w:id="35"/>
      <w:r>
        <w:t>3.1 Tratamentos aplicados</w:t>
      </w:r>
      <w:bookmarkEnd w:id="35"/>
    </w:p>
    <w:p w:rsidR="00391E4F" w:rsidRDefault="00000000" w14:paraId="6C75EC02" w14:textId="77777777">
      <w:pPr>
        <w:spacing w:after="120" w:line="264" w:lineRule="auto"/>
        <w:jc w:val="both"/>
      </w:pPr>
      <w:r>
        <w:t xml:space="preserve">O pré-processamento foi desenhado para ser modular, auditável e livre de vazamento de informação (data </w:t>
      </w:r>
      <w:proofErr w:type="spellStart"/>
      <w:r>
        <w:t>leakage</w:t>
      </w:r>
      <w:proofErr w:type="spellEnd"/>
      <w:r>
        <w:t xml:space="preserve">). Faltantes: a base não tem nulos → nenhuma imputação. </w:t>
      </w:r>
      <w:proofErr w:type="spellStart"/>
      <w:r>
        <w:t>Deduplicação</w:t>
      </w:r>
      <w:proofErr w:type="spellEnd"/>
      <w:r>
        <w:t>: 125 idênticos removidos, Id ignorado → 1.018 amostras. Padronização (média 0, desvio 1) aplicada dentro do pipeline de cada modelo, após o split — garantindo que os parâmetros sejam calculados só no treino. Divisão: 80/20 estratificada → 814 treino / 204 teste.</w:t>
      </w:r>
    </w:p>
    <w:p w:rsidR="00391E4F" w:rsidRDefault="00000000" w14:paraId="02EBF66D" w14:textId="77777777">
      <w:pPr>
        <w:pStyle w:val="Ttulo2"/>
      </w:pPr>
      <w:bookmarkStart w:name="_Toc233109769" w:id="36"/>
      <w:r>
        <w:t>3.2 Engenharia de variáveis (criada, testada e descartada)</w:t>
      </w:r>
      <w:bookmarkEnd w:id="36"/>
    </w:p>
    <w:p w:rsidR="00391E4F" w:rsidRDefault="00000000" w14:paraId="31596414" w14:textId="77777777">
      <w:pPr>
        <w:spacing w:after="120" w:line="264" w:lineRule="auto"/>
        <w:jc w:val="both"/>
      </w:pPr>
      <w:r>
        <w:t>Criamos e testamos a razão SO₂ livre / total (hipótese: fração do conservante ainda ativa). O teste comparou o F1 (validação cruzada) com e sem a variável.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 w:rsidR="00391E4F" w14:paraId="09D0C935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611AC0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14C0D2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sem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A20727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com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F96FE2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 (com − sem)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460F96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 entre dobras</w:t>
            </w:r>
          </w:p>
        </w:tc>
      </w:tr>
      <w:tr w:rsidR="00391E4F" w14:paraId="135B536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9C3B65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3626E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0,7603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C7E5D5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0,7589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6CF465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-0,0014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8C9735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0,028</w:t>
            </w:r>
          </w:p>
        </w:tc>
      </w:tr>
      <w:tr w:rsidR="00391E4F" w14:paraId="4B2CE9A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19BA575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2749D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0,7609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D48191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0,7684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F66CD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0,0076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5BAD29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0,021</w:t>
            </w:r>
          </w:p>
        </w:tc>
      </w:tr>
    </w:tbl>
    <w:p w:rsidR="00C16CB7" w:rsidP="00C16CB7" w:rsidRDefault="00C16CB7" w14:paraId="352EFB97" w14:textId="20022D40">
      <w:pPr>
        <w:pStyle w:val="Legenda"/>
        <w:keepNext/>
        <w:jc w:val="center"/>
      </w:pPr>
      <w:bookmarkStart w:name="_Toc233107169" w:id="37"/>
      <w:bookmarkStart w:name="_Toc233107423" w:id="3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5</w:t>
      </w:r>
      <w:r>
        <w:fldChar w:fldCharType="end"/>
      </w:r>
      <w:r>
        <w:t xml:space="preserve"> -</w:t>
      </w:r>
      <w:r w:rsidRPr="004E48B2">
        <w:t xml:space="preserve"> Efeito da variável so2_ratio no F1 (validação cruzada, 5 dobras).</w:t>
      </w:r>
      <w:bookmarkEnd w:id="37"/>
      <w:bookmarkEnd w:id="38"/>
    </w:p>
    <w:p w:rsidR="00391E4F" w:rsidRDefault="00000000" w14:paraId="4740D085" w14:textId="77777777">
      <w:pPr>
        <w:spacing w:after="120" w:line="264" w:lineRule="auto"/>
        <w:jc w:val="both"/>
      </w:pPr>
      <w:r>
        <w:t>A variação do F1 é desprezível — menor que o desvio entre dobras (faixa do ruído) — e SO₂ livre e total já estão no modelo individualmente, tornando a razão redundante. Decisão: não incorporar. Resultado academicamente válido: a variável foi criada, testada e descartada com base em evidência.</w:t>
      </w:r>
    </w:p>
    <w:p w:rsidR="00391E4F" w:rsidRDefault="00000000" w14:paraId="1C8C5ED4" w14:textId="77777777">
      <w:pPr>
        <w:pStyle w:val="Ttulo2"/>
      </w:pPr>
      <w:bookmarkStart w:name="_Toc233109770" w:id="39"/>
      <w:r>
        <w:t>3.3 Interações entre variáveis</w:t>
      </w:r>
      <w:bookmarkEnd w:id="39"/>
    </w:p>
    <w:p w:rsidR="00391E4F" w:rsidRDefault="00000000" w14:paraId="501E9CB1" w14:textId="77777777">
      <w:pPr>
        <w:spacing w:after="120" w:line="264" w:lineRule="auto"/>
        <w:jc w:val="both"/>
      </w:pPr>
      <w:r>
        <w:t xml:space="preserve">Para demonstrar exploração além do script básico, testamos três interações sugeridas em revisão — </w:t>
      </w:r>
      <w:proofErr w:type="spellStart"/>
      <w:r>
        <w:t>álcool×sulfatos</w:t>
      </w:r>
      <w:proofErr w:type="spellEnd"/>
      <w:r>
        <w:t xml:space="preserve">, álcool/densidade e acidez </w:t>
      </w:r>
      <w:proofErr w:type="spellStart"/>
      <w:r>
        <w:t>volátil×sulfatos</w:t>
      </w:r>
      <w:proofErr w:type="spellEnd"/>
      <w:r>
        <w:t xml:space="preserve"> — comparando o F1 (CV).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 w:rsidR="00391E4F" w14:paraId="151ADE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16E1C8D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4A166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sem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4B3F33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com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AC434B6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 (com − sem)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426F1E5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 entre dobras</w:t>
            </w:r>
          </w:p>
        </w:tc>
      </w:tr>
      <w:tr w:rsidR="00391E4F" w14:paraId="418093F1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2E3D9AA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22166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0,7603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C1C6A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0,7557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CEFDE9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-0,0045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93A6D5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0,028</w:t>
            </w:r>
          </w:p>
        </w:tc>
      </w:tr>
      <w:tr w:rsidR="00391E4F" w14:paraId="6549B019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CB86461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EFE9A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0,7609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6E394A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0,7646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3CA43C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0,0037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196E7D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0,021</w:t>
            </w:r>
          </w:p>
        </w:tc>
      </w:tr>
    </w:tbl>
    <w:p w:rsidR="00C16CB7" w:rsidP="00C16CB7" w:rsidRDefault="00C16CB7" w14:paraId="1139B54D" w14:textId="7EBA1912">
      <w:pPr>
        <w:pStyle w:val="Legenda"/>
        <w:keepNext/>
        <w:jc w:val="center"/>
      </w:pPr>
      <w:bookmarkStart w:name="_Toc233107170" w:id="40"/>
      <w:bookmarkStart w:name="_Toc233107424" w:id="41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6</w:t>
      </w:r>
      <w:r>
        <w:fldChar w:fldCharType="end"/>
      </w:r>
      <w:r>
        <w:t xml:space="preserve"> -</w:t>
      </w:r>
      <w:r w:rsidRPr="00663ECA">
        <w:t xml:space="preserve"> Efeito das interações no F1 (validação cruzada, 5 dobras).</w:t>
      </w:r>
      <w:bookmarkEnd w:id="40"/>
      <w:bookmarkEnd w:id="41"/>
    </w:p>
    <w:p w:rsidR="00391E4F" w:rsidRDefault="00000000" w14:paraId="2516D176" w14:textId="77777777">
      <w:pPr>
        <w:spacing w:after="120" w:line="264" w:lineRule="auto"/>
        <w:jc w:val="both"/>
      </w:pPr>
      <w:r>
        <w:t>A variação está dentro do ruído: as árvores já capturam interações implicitamente, e o modelo linear não se beneficia de forma relevante. Decisão: não incorporar.</w:t>
      </w:r>
    </w:p>
    <w:p w:rsidR="00391E4F" w:rsidRDefault="00000000" w14:paraId="776E5123" w14:textId="77777777">
      <w:pPr>
        <w:pStyle w:val="Ttulo2"/>
      </w:pPr>
      <w:bookmarkStart w:name="_Toc233109771" w:id="42"/>
      <w:r>
        <w:t>3.4 Robustez a distribuições assimétricas (teste logarítmico)</w:t>
      </w:r>
      <w:bookmarkEnd w:id="42"/>
    </w:p>
    <w:p w:rsidR="00391E4F" w:rsidRDefault="00000000" w14:paraId="5E2BB189" w14:textId="77777777">
      <w:pPr>
        <w:spacing w:after="120" w:line="264" w:lineRule="auto"/>
        <w:jc w:val="both"/>
      </w:pPr>
      <w:r>
        <w:t xml:space="preserve">Fechando o ponto da Seção 2.4, aplicamos log1p às variáveis assimétricas (açúcar residual, cloretos, SO₂ livre/total, sulfatos) e </w:t>
      </w:r>
      <w:proofErr w:type="spellStart"/>
      <w:r>
        <w:t>recomparamos</w:t>
      </w:r>
      <w:proofErr w:type="spellEnd"/>
      <w:r>
        <w:t xml:space="preserve"> o F1 da Regressão Logística. O ganho é desprezível (Δ = 0,0013, menor que o desvio entre dobras). Conclusão: a assimetria das marginais </w:t>
      </w:r>
      <w:r>
        <w:rPr>
          <w:b/>
          <w:bCs/>
        </w:rPr>
        <w:t>não é o gargalo</w:t>
      </w:r>
      <w:r>
        <w:t>. O motivo é conceitual — assimetria não é o mesmo que não linearidade: a fraqueza de um modelo linear está em relações não monotônicas, não em marginais tortas; após a padronização (e a regularização L2 escolhida pela busca em grade), a relação monotônica das variáveis dominantes é bem capturada.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560"/>
        <w:gridCol w:w="1700"/>
        <w:gridCol w:w="1700"/>
        <w:gridCol w:w="1700"/>
        <w:gridCol w:w="1700"/>
      </w:tblGrid>
      <w:tr w:rsidR="00391E4F" w14:paraId="7DF10DC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46BE58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E010D30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sem log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963AE65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com log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0264F3B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Δ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8BA4B8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 entre dobras</w:t>
            </w:r>
          </w:p>
        </w:tc>
      </w:tr>
      <w:tr w:rsidR="00391E4F" w14:paraId="104CFDCE" w14:textId="77777777">
        <w:tblPrEx>
          <w:tblCellMar>
            <w:top w:w="0" w:type="dxa"/>
            <w:bottom w:w="0" w:type="dxa"/>
          </w:tblCellMar>
        </w:tblPrEx>
        <w:tc>
          <w:tcPr>
            <w:tcW w:w="2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AA844E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A2654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0,7603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41500F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0,7615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4D2838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0,0013</w:t>
            </w:r>
          </w:p>
        </w:tc>
        <w:tc>
          <w:tcPr>
            <w:tcW w:w="17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B0BD73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0,028</w:t>
            </w:r>
          </w:p>
        </w:tc>
      </w:tr>
    </w:tbl>
    <w:p w:rsidR="00391E4F" w:rsidP="00C16CB7" w:rsidRDefault="00C16CB7" w14:paraId="74B1759D" w14:textId="00DF091C">
      <w:pPr>
        <w:pStyle w:val="Legenda"/>
        <w:jc w:val="center"/>
      </w:pPr>
      <w:bookmarkStart w:name="_Toc233107171" w:id="43"/>
      <w:bookmarkStart w:name="_Toc233107425" w:id="44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7</w:t>
      </w:r>
      <w:r>
        <w:fldChar w:fldCharType="end"/>
      </w:r>
      <w:r>
        <w:t xml:space="preserve"> - </w:t>
      </w:r>
      <w:r w:rsidRPr="002A782B">
        <w:t>Regressão Logística com e sem transformação logarítmica das variáveis assimétricas.</w:t>
      </w:r>
      <w:bookmarkEnd w:id="43"/>
      <w:bookmarkEnd w:id="44"/>
    </w:p>
    <w:p w:rsidR="00391E4F" w:rsidRDefault="00000000" w14:paraId="56FA0790" w14:textId="77777777">
      <w:pPr>
        <w:pStyle w:val="Ttulo1"/>
      </w:pPr>
      <w:bookmarkStart w:name="_Toc233109772" w:id="45"/>
      <w:r>
        <w:t>4. Desenvolvimento de Modelos</w:t>
      </w:r>
      <w:bookmarkEnd w:id="45"/>
    </w:p>
    <w:p w:rsidR="00391E4F" w:rsidRDefault="00000000" w14:paraId="5100FEFF" w14:textId="77777777">
      <w:pPr>
        <w:pStyle w:val="Ttulo2"/>
      </w:pPr>
      <w:bookmarkStart w:name="_Toc233109773" w:id="46"/>
      <w:r>
        <w:t>4.1 Algoritmos testados experimentalmente</w:t>
      </w:r>
      <w:bookmarkEnd w:id="46"/>
    </w:p>
    <w:p w:rsidR="00391E4F" w:rsidRDefault="00000000" w14:paraId="2E4354C1" w14:textId="77777777">
      <w:pPr>
        <w:spacing w:after="120" w:line="264" w:lineRule="auto"/>
        <w:jc w:val="both"/>
      </w:pPr>
      <w:r>
        <w:t xml:space="preserve">Sete algoritmos foram efetivamente treinados e avaliados sob o mesmo protocolo, cobrindo famílias distintas: Regressão Logística (linear, máxima </w:t>
      </w:r>
      <w:proofErr w:type="spellStart"/>
      <w:r>
        <w:t>interpretabilidade</w:t>
      </w:r>
      <w:proofErr w:type="spellEnd"/>
      <w:r>
        <w:t xml:space="preserve">); Random Forest (conjunto de árvores, capta não linearidades, robusta a outliers); SVM (fronteira de maior margem); KNN (vizinhos mais próximos);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(árvores sequenciais, alta precisão); Árvore de Decisão (interpretável, porém instável); e 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 (probabilístico, rápido). Todos foram encapsulados em pipelines (padronização + estimador), garantindo ausência de vazamento na validação cruzada.</w:t>
      </w:r>
    </w:p>
    <w:p w:rsidR="00391E4F" w:rsidRDefault="00000000" w14:paraId="68173AF7" w14:textId="77777777">
      <w:pPr>
        <w:pStyle w:val="Ttulo2"/>
      </w:pPr>
      <w:bookmarkStart w:name="_Toc233109774" w:id="47"/>
      <w:r>
        <w:t>4.2 Tratamento do desbalanceamento (Parte I)</w:t>
      </w:r>
      <w:bookmarkEnd w:id="47"/>
    </w:p>
    <w:p w:rsidR="00391E4F" w:rsidRDefault="00000000" w14:paraId="5E3E012D" w14:textId="77777777">
      <w:pPr>
        <w:spacing w:after="120" w:line="264" w:lineRule="auto"/>
        <w:jc w:val="both"/>
      </w:pPr>
      <w:r>
        <w:t xml:space="preserve">No corte ≥ 7, os modelos que admitem o recurso receberam </w:t>
      </w:r>
      <w:proofErr w:type="spellStart"/>
      <w:r>
        <w:t>class_weight</w:t>
      </w:r>
      <w:proofErr w:type="spellEnd"/>
      <w:r>
        <w:t xml:space="preserve"> = '</w:t>
      </w:r>
      <w:proofErr w:type="spellStart"/>
      <w:r>
        <w:t>balanced</w:t>
      </w:r>
      <w:proofErr w:type="spellEnd"/>
      <w:r>
        <w:t xml:space="preserve">', que penaliza mais os erros na classe minoritária — valorizar cada acerto raro, sem criar dados artificiais. SMOTE e </w:t>
      </w:r>
      <w:proofErr w:type="spellStart"/>
      <w:r>
        <w:t>subamostragem</w:t>
      </w:r>
      <w:proofErr w:type="spellEnd"/>
      <w:r>
        <w:t xml:space="preserve"> foram avaliados e descartados: a base, com 1.018 linhas, é pequena.</w:t>
      </w:r>
    </w:p>
    <w:p w:rsidR="00391E4F" w:rsidRDefault="00000000" w14:paraId="0BC00753" w14:textId="77777777">
      <w:pPr>
        <w:pStyle w:val="Ttulo2"/>
      </w:pPr>
      <w:bookmarkStart w:name="_Toc233109775" w:id="48"/>
      <w:r>
        <w:t xml:space="preserve">4.3 Otimização de </w:t>
      </w:r>
      <w:proofErr w:type="spellStart"/>
      <w:r>
        <w:t>hiperparâmetros</w:t>
      </w:r>
      <w:bookmarkEnd w:id="48"/>
      <w:proofErr w:type="spellEnd"/>
    </w:p>
    <w:p w:rsidR="00391E4F" w:rsidRDefault="00000000" w14:paraId="60E5A4D0" w14:textId="77777777">
      <w:pPr>
        <w:spacing w:after="120" w:line="264" w:lineRule="auto"/>
        <w:jc w:val="both"/>
      </w:pPr>
      <w:r>
        <w:t>Aplicou-se a busca em grade (</w:t>
      </w:r>
      <w:proofErr w:type="spellStart"/>
      <w:r>
        <w:t>GridSearchCV</w:t>
      </w:r>
      <w:proofErr w:type="spellEnd"/>
      <w:r>
        <w:t xml:space="preserve">, 5 dobras, critério F1) aos dois modelos principais, </w:t>
      </w:r>
      <w:r>
        <w:rPr>
          <w:b/>
          <w:bCs/>
        </w:rPr>
        <w:t>sobre o conjunto de treino do corte ≥ 6</w:t>
      </w:r>
      <w:r>
        <w:t xml:space="preserve">. Esclarecimento importante: as </w:t>
      </w:r>
      <w:r>
        <w:rPr>
          <w:b/>
          <w:bCs/>
        </w:rPr>
        <w:t>Tabelas 10 a 13 reportam os modelos default</w:t>
      </w:r>
      <w:r>
        <w:t xml:space="preserve"> (configuração de fábrica); a busca entrega os modelos otimizados usados na </w:t>
      </w:r>
      <w:proofErr w:type="spellStart"/>
      <w:r>
        <w:t>interpretabilidade</w:t>
      </w:r>
      <w:proofErr w:type="spellEnd"/>
      <w:r>
        <w:t xml:space="preserve"> (Seção 7) e na recomendação final.</w:t>
      </w:r>
    </w:p>
    <w:p w:rsidR="00391E4F" w:rsidRDefault="00000000" w14:paraId="64F0991A" w14:textId="77777777">
      <w:pPr>
        <w:spacing w:after="120" w:line="264" w:lineRule="auto"/>
        <w:jc w:val="both"/>
      </w:pPr>
      <w:r>
        <w:t>O espaço de busca varrido foi: para a Random Forest, número de árvores em {200, 400}, profundidade máxima em {nenhuma, 6, 10} e mínimo de amostras por folha em {1, 2, 5}; para a Regressão Logística, regularização C em {0,01; 0,1; 1; 10} com penalidade L2. A melhor combinação de cada modelo, na tabela a seguir, foi selecionada pelo F1 médio nas cinco dobras.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4560"/>
        <w:gridCol w:w="2400"/>
      </w:tblGrid>
      <w:tr w:rsidR="00391E4F" w14:paraId="44597F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2E569B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BD622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Melhores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hiperparâmetros</w:t>
            </w:r>
            <w:proofErr w:type="spellEnd"/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6C71DF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(validação cruzada)</w:t>
            </w:r>
          </w:p>
        </w:tc>
      </w:tr>
      <w:tr w:rsidR="00391E4F" w14:paraId="2978F97D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73DB9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FBB4CA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 xml:space="preserve">C = 0,1, </w:t>
            </w:r>
            <w:proofErr w:type="spellStart"/>
            <w:r>
              <w:rPr>
                <w:color w:val="000000"/>
                <w:sz w:val="19"/>
                <w:szCs w:val="19"/>
              </w:rPr>
              <w:t>penalty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l2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7869A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0,7564</w:t>
            </w:r>
          </w:p>
        </w:tc>
      </w:tr>
      <w:tr w:rsidR="00391E4F" w14:paraId="1908D4F0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1080C80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CD4470B" w14:textId="77777777">
            <w:pPr>
              <w:spacing w:line="248" w:lineRule="auto"/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n_estimators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400, </w:t>
            </w:r>
            <w:proofErr w:type="spellStart"/>
            <w:r>
              <w:rPr>
                <w:color w:val="000000"/>
                <w:sz w:val="19"/>
                <w:szCs w:val="19"/>
              </w:rPr>
              <w:t>max_depth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</w:t>
            </w:r>
            <w:proofErr w:type="spellStart"/>
            <w:r>
              <w:rPr>
                <w:color w:val="000000"/>
                <w:sz w:val="19"/>
                <w:szCs w:val="19"/>
              </w:rPr>
              <w:t>null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, </w:t>
            </w:r>
            <w:proofErr w:type="spellStart"/>
            <w:r>
              <w:rPr>
                <w:color w:val="000000"/>
                <w:sz w:val="19"/>
                <w:szCs w:val="19"/>
              </w:rPr>
              <w:t>min_samples_leaf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= 2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6B641D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0,7696</w:t>
            </w:r>
          </w:p>
        </w:tc>
      </w:tr>
    </w:tbl>
    <w:p w:rsidR="00391E4F" w:rsidP="00C16CB7" w:rsidRDefault="00C16CB7" w14:paraId="02DDAA06" w14:textId="39E3F5AD">
      <w:pPr>
        <w:pStyle w:val="Legenda"/>
        <w:keepNext/>
        <w:jc w:val="center"/>
      </w:pPr>
      <w:bookmarkStart w:name="_Toc233107172" w:id="49"/>
      <w:bookmarkStart w:name="_Toc233107426" w:id="5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8</w:t>
      </w:r>
      <w:r>
        <w:fldChar w:fldCharType="end"/>
      </w:r>
      <w:r>
        <w:t xml:space="preserve"> -</w:t>
      </w:r>
      <w:r w:rsidRPr="00B24A01">
        <w:t xml:space="preserve"> Melhores configurações encontradas pela busca em grade (</w:t>
      </w:r>
      <w:proofErr w:type="spellStart"/>
      <w:r w:rsidRPr="00B24A01">
        <w:t>GridSearchCV</w:t>
      </w:r>
      <w:proofErr w:type="spellEnd"/>
      <w:r w:rsidRPr="00B24A01">
        <w:t>).</w:t>
      </w:r>
      <w:bookmarkEnd w:id="49"/>
      <w:bookmarkEnd w:id="50"/>
    </w:p>
    <w:p w:rsidR="00391E4F" w:rsidRDefault="00000000" w14:paraId="0CD04974" w14:textId="77777777">
      <w:pPr>
        <w:spacing w:after="120" w:line="264" w:lineRule="auto"/>
        <w:jc w:val="both"/>
      </w:pPr>
      <w:r>
        <w:t xml:space="preserve">A Random Forest otimizada obtém F1 de validação cruzada 0,7696 e F1 de teste 0,7733 — leve otimismo da estimativa por validação cruzada, esperado em bases de ~mil amostras, sem </w:t>
      </w:r>
      <w:proofErr w:type="spellStart"/>
      <w:r>
        <w:t>superajuste</w:t>
      </w:r>
      <w:proofErr w:type="spellEnd"/>
      <w:r>
        <w:t xml:space="preserve"> relevante.</w:t>
      </w:r>
    </w:p>
    <w:p w:rsidR="00391E4F" w:rsidRDefault="00000000" w14:paraId="2D9E8D22" w14:textId="77777777">
      <w:pPr>
        <w:spacing w:after="120" w:line="264" w:lineRule="auto"/>
        <w:jc w:val="both"/>
      </w:pPr>
      <w:r>
        <w:t>Para tornar explícito o ganho da otimização, a tabela abaixo compara o F1 de validação cruzada dos dois modelos principais antes e depois da busca em grade. O ganho é modesto — coerente com o diagnóstico de que o teto vem da sobreposição das classes, não da configuração —, porém positivo e consistente; no teste, a Random Forest otimizada sobe de 0,768 para 0,7733.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60"/>
        <w:gridCol w:w="2100"/>
        <w:gridCol w:w="2100"/>
        <w:gridCol w:w="2100"/>
      </w:tblGrid>
      <w:tr w:rsidR="00391E4F" w14:paraId="79D5007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6991F58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B5440EF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CV (padrão)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A4BD768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CV (otimizado)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A938EAB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Ganho</w:t>
            </w:r>
          </w:p>
        </w:tc>
      </w:tr>
      <w:tr w:rsidR="00391E4F" w14:paraId="556B0435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B7F1CCE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68113B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0,7623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0DEC16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0,7696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CAD74E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+0,0073</w:t>
            </w:r>
          </w:p>
        </w:tc>
      </w:tr>
      <w:tr w:rsidR="00391E4F" w14:paraId="1EC5CA8E" w14:textId="77777777">
        <w:tblPrEx>
          <w:tblCellMar>
            <w:top w:w="0" w:type="dxa"/>
            <w:bottom w:w="0" w:type="dxa"/>
          </w:tblCellMar>
        </w:tblPrEx>
        <w:tc>
          <w:tcPr>
            <w:tcW w:w="30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58D3EF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6B48DA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0,7547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AAFAF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0,7564</w:t>
            </w:r>
          </w:p>
        </w:tc>
        <w:tc>
          <w:tcPr>
            <w:tcW w:w="21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56996A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+0,0017</w:t>
            </w:r>
          </w:p>
        </w:tc>
      </w:tr>
    </w:tbl>
    <w:p w:rsidRPr="00C16CB7" w:rsidR="001A141D" w:rsidP="00C16CB7" w:rsidRDefault="00C16CB7" w14:paraId="7715C342" w14:textId="7A966E20">
      <w:pPr>
        <w:pStyle w:val="Legenda"/>
        <w:keepNext/>
        <w:jc w:val="center"/>
        <w:rPr>
          <w:color w:val="0E2841" w:themeColor="text2"/>
        </w:rPr>
      </w:pPr>
      <w:bookmarkStart w:name="_Toc233107173" w:id="51"/>
      <w:bookmarkStart w:name="_Toc233107427" w:id="52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9</w:t>
      </w:r>
      <w:r>
        <w:fldChar w:fldCharType="end"/>
      </w:r>
      <w:r>
        <w:t xml:space="preserve"> -</w:t>
      </w:r>
      <w:r w:rsidRPr="00471C7D">
        <w:t xml:space="preserve"> Ganho da otimização de </w:t>
      </w:r>
      <w:proofErr w:type="spellStart"/>
      <w:r w:rsidRPr="00471C7D">
        <w:t>hiperparâmetros</w:t>
      </w:r>
      <w:proofErr w:type="spellEnd"/>
      <w:r w:rsidRPr="00471C7D">
        <w:t xml:space="preserve"> (F1 em validação cruzada).</w:t>
      </w:r>
      <w:bookmarkEnd w:id="51"/>
      <w:bookmarkEnd w:id="52"/>
      <w:r w:rsidR="001A141D">
        <w:br w:type="page"/>
      </w:r>
    </w:p>
    <w:p w:rsidR="00391E4F" w:rsidRDefault="00000000" w14:paraId="6B303147" w14:textId="66EEED62">
      <w:pPr>
        <w:pStyle w:val="Ttulo1"/>
      </w:pPr>
      <w:bookmarkStart w:name="_Toc233109776" w:id="53"/>
      <w:r>
        <w:t>5. Avaliação — Parte I (corte ≥ 7, desbalanceado)</w:t>
      </w:r>
      <w:bookmarkEnd w:id="53"/>
    </w:p>
    <w:p w:rsidR="00391E4F" w:rsidRDefault="00000000" w14:paraId="32DF6888" w14:textId="77777777">
      <w:pPr>
        <w:spacing w:after="120" w:line="264" w:lineRule="auto"/>
        <w:jc w:val="both"/>
      </w:pPr>
      <w:r>
        <w:t>Esta etapa é sobretudo demonstrativa: mostrar, com números reais, por que a acurácia engana em bases desbalanceadas e qual o efeito do ajuste de peso das classes.</w:t>
      </w:r>
    </w:p>
    <w:p w:rsidR="00391E4F" w:rsidRDefault="00000000" w14:paraId="3FB9E6EC" w14:textId="77777777">
      <w:pPr>
        <w:spacing w:after="120" w:line="264" w:lineRule="auto"/>
        <w:jc w:val="both"/>
      </w:pPr>
      <w:r>
        <w:t>A métrica principal de decisão é o F1-Score, média harmônica entre precisão e recall. A escolha é deliberada: a acurácia engana em bases desbalanceadas, como já discutido; a ROC-AUC mede a capacidade de ordenação independentemente do limiar e entra como métrica complementar; o F1, por equilibrar os custos dos dois erros — falsos positivos (prêmio frustrado) e falsos negativos (receita não capturada) —, é o que melhor reflete o objetivo de negócio no ponto de operação. Por isso, é o critério usado para ordenar e selecionar os modelos a seguir.</w:t>
      </w:r>
    </w:p>
    <w:p w:rsidR="00391E4F" w:rsidRDefault="00000000" w14:paraId="59DCCA71" w14:textId="77777777">
      <w:pPr>
        <w:pStyle w:val="Ttulo2"/>
      </w:pPr>
      <w:bookmarkStart w:name="_Toc233109777" w:id="54"/>
      <w:r>
        <w:t>5.1 Resultados sem correção de desbalanceamento</w:t>
      </w:r>
      <w:bookmarkEnd w:id="54"/>
    </w:p>
    <w:p w:rsidR="00391E4F" w:rsidRDefault="00000000" w14:paraId="064F41AC" w14:textId="77777777">
      <w:pPr>
        <w:spacing w:after="120" w:line="264" w:lineRule="auto"/>
        <w:jc w:val="both"/>
      </w:pPr>
      <w:r>
        <w:t xml:space="preserve">Vários modelos exibem acurácia alta (SVM 0,897; Regressão Logística 0,887) que apenas reflete a classe majoritária — o </w:t>
      </w:r>
      <w:r>
        <w:rPr>
          <w:b/>
          <w:bCs/>
        </w:rPr>
        <w:t>recall</w:t>
      </w:r>
      <w:r>
        <w:t xml:space="preserve"> da classe “Alta” é baixíssimo (SVM 0,333: escapam dois em cada três vinhos excelentes). A acurácia de 0,897 mal supera o palpite ingênuo de 0,865. O melhor F1 (</w:t>
      </w:r>
      <w:proofErr w:type="spellStart"/>
      <w:r>
        <w:t>Naive</w:t>
      </w:r>
      <w:proofErr w:type="spellEnd"/>
      <w:r>
        <w:t xml:space="preserve"> </w:t>
      </w:r>
      <w:proofErr w:type="spellStart"/>
      <w:r>
        <w:t>Bayes</w:t>
      </w:r>
      <w:proofErr w:type="spellEnd"/>
      <w:r>
        <w:t xml:space="preserve">, 0,529) já evidencia a dificuldade. Para a vinícola, </w:t>
      </w:r>
      <w:proofErr w:type="spellStart"/>
      <w:r>
        <w:t>subprecificar</w:t>
      </w:r>
      <w:proofErr w:type="spellEnd"/>
      <w:r>
        <w:t xml:space="preserve"> metade dos melhores lotes é prejuízo mascarado por uma métrica aparentemente boa.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320"/>
        <w:gridCol w:w="1320"/>
        <w:gridCol w:w="1320"/>
        <w:gridCol w:w="1320"/>
        <w:gridCol w:w="1320"/>
      </w:tblGrid>
      <w:tr w:rsidR="00391E4F" w14:paraId="654866B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9971730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4614CA7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3C66FB2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EB7CF04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8D8DA4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D7FA777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391E4F" w14:paraId="750446E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59A005B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Bayes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0C768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92C003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0,439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1142C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0,667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93ABAD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0,529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D1F4E1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0,888</w:t>
            </w:r>
          </w:p>
        </w:tc>
      </w:tr>
      <w:tr w:rsidR="00391E4F" w14:paraId="25E09E91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0204D94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24CFBC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E65144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0,600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6C6FC9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0,444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AD449A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0,511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D1A529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0,899</w:t>
            </w:r>
          </w:p>
        </w:tc>
      </w:tr>
      <w:tr w:rsidR="00391E4F" w14:paraId="242E833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52FDD7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KNN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84F1DC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E3734F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0,579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6F6B18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104854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0,478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57A698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0,823</w:t>
            </w:r>
          </w:p>
        </w:tc>
      </w:tr>
      <w:tr w:rsidR="00391E4F" w14:paraId="3063D86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6C601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3AE67E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D41EA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8A9709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0,333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751555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0,462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64356C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0,919</w:t>
            </w:r>
          </w:p>
        </w:tc>
      </w:tr>
      <w:tr w:rsidR="00391E4F" w14:paraId="1D0B6F43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1726474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C8478F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0,858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121E99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0,455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09F70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0,370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256316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FB20F8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0,894</w:t>
            </w:r>
          </w:p>
        </w:tc>
      </w:tr>
      <w:tr w:rsidR="00391E4F" w14:paraId="06E6B3A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AB82B7D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669458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0,868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F9E4F0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0,500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4B5FD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0,296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1A99FB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0,372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3600D3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0,899</w:t>
            </w:r>
          </w:p>
        </w:tc>
      </w:tr>
      <w:tr w:rsidR="00391E4F" w14:paraId="0E80227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B86862C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Árvore de Decisão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2D63FE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0,809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05DFBF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0,313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09859B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0,370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B7C98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0,339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8BA4F4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0,623</w:t>
            </w:r>
          </w:p>
        </w:tc>
      </w:tr>
    </w:tbl>
    <w:p w:rsidR="00C16CB7" w:rsidP="00C16CB7" w:rsidRDefault="00C16CB7" w14:paraId="433926B0" w14:textId="5E203C5D">
      <w:pPr>
        <w:pStyle w:val="Legenda"/>
        <w:keepNext/>
        <w:jc w:val="center"/>
      </w:pPr>
      <w:bookmarkStart w:name="_Toc233107174" w:id="55"/>
      <w:bookmarkStart w:name="_Toc233107428" w:id="5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10</w:t>
      </w:r>
      <w:r>
        <w:fldChar w:fldCharType="end"/>
      </w:r>
      <w:r>
        <w:t xml:space="preserve"> -</w:t>
      </w:r>
      <w:r w:rsidRPr="00A50FC3">
        <w:t xml:space="preserve"> Parte I (corte ≥ 7), sem correção de desbalanceamento. Ordenado por F1-Score</w:t>
      </w:r>
      <w:r>
        <w:t>.</w:t>
      </w:r>
      <w:bookmarkEnd w:id="55"/>
      <w:bookmarkEnd w:id="56"/>
    </w:p>
    <w:p w:rsidR="00391E4F" w:rsidRDefault="00000000" w14:paraId="654428BB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D886AAC" wp14:editId="75713CC5">
            <wp:extent cx="5524500" cy="2800350"/>
            <wp:effectExtent l="0" t="0" r="0" b="0"/>
            <wp:docPr id="696306130" name="Imagem 6963061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C16CB7" w:rsidRDefault="00C16CB7" w14:paraId="02DB8872" w14:textId="6BFD48FF">
      <w:pPr>
        <w:pStyle w:val="Legenda"/>
        <w:jc w:val="center"/>
      </w:pPr>
      <w:bookmarkStart w:name="_Toc233107015" w:id="57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9</w:t>
      </w:r>
      <w:r>
        <w:fldChar w:fldCharType="end"/>
      </w:r>
      <w:r>
        <w:t xml:space="preserve"> -</w:t>
      </w:r>
      <w:r w:rsidRPr="00975AFB">
        <w:t xml:space="preserve"> F1-Score por modelo na Parte I, sem correção (destaque para o melhor).</w:t>
      </w:r>
      <w:bookmarkEnd w:id="57"/>
    </w:p>
    <w:p w:rsidR="00391E4F" w:rsidRDefault="00000000" w14:paraId="3B0E3037" w14:textId="77777777">
      <w:pPr>
        <w:pStyle w:val="Ttulo2"/>
      </w:pPr>
      <w:bookmarkStart w:name="_Toc233109778" w:id="58"/>
      <w:r>
        <w:t>5.2 Resultados com ajuste de peso das classes</w:t>
      </w:r>
      <w:bookmarkEnd w:id="58"/>
    </w:p>
    <w:p w:rsidR="00391E4F" w:rsidRDefault="00000000" w14:paraId="2A5C8DAB" w14:textId="77777777">
      <w:pPr>
        <w:spacing w:after="120" w:line="264" w:lineRule="auto"/>
        <w:jc w:val="both"/>
      </w:pPr>
      <w:r>
        <w:t>Com o ajuste, o quadro muda: SVM (F1 0,568) e Regressão Logística (0,539) passam a recuperar a maioria dos vinhos bons (recall 0,926 e 0,889), ao custo de precisão e acurácia — exatamente o trade-off desejado. Ainda assim, o F1 máximo (≈ 0,57) confirma que o corte ≥ 7 é intrinsecamente difícil, o que motiva a Parte II.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320"/>
        <w:gridCol w:w="1320"/>
        <w:gridCol w:w="1320"/>
        <w:gridCol w:w="1320"/>
        <w:gridCol w:w="1320"/>
      </w:tblGrid>
      <w:tr w:rsidR="00391E4F" w14:paraId="56AFD904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B3A1E1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55F686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DF5EF3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4A7C3F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8D735A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68EFDEB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391E4F" w14:paraId="217620E7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3255495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2AA1B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0,814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08A84D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0,410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169E52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0,926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7C4797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0,568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773D31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0,908</w:t>
            </w:r>
          </w:p>
        </w:tc>
      </w:tr>
      <w:tr w:rsidR="00391E4F" w14:paraId="750399AC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D907F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012BA6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0,799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987274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0,387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0FA279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7CE3F3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0,539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E5C465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0,900</w:t>
            </w:r>
          </w:p>
        </w:tc>
      </w:tr>
      <w:tr w:rsidR="00391E4F" w14:paraId="1B5F33A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62B576B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Bayes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C567F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B32E64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0,439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B9AA7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0,667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FCE055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0,529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DB0314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0,888</w:t>
            </w:r>
          </w:p>
        </w:tc>
      </w:tr>
      <w:tr w:rsidR="00391E4F" w14:paraId="3FFCEB4D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E4C823A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Árvore de Decisão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2CC3A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85A128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0,432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28524A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0,593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DCC8B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0,500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90C82A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0,737</w:t>
            </w:r>
          </w:p>
        </w:tc>
      </w:tr>
      <w:tr w:rsidR="00391E4F" w14:paraId="0F4DEA85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4DBD05F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KNN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FD5BFD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62CF06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0,579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50F3E5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0,407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4D8504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0,478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98D5DA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0,823</w:t>
            </w:r>
          </w:p>
        </w:tc>
      </w:tr>
      <w:tr w:rsidR="00391E4F" w14:paraId="14EAB649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2A9B8D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C9E42A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0,858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E6F864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0,455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7F905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0,370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D109B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56E561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0,894</w:t>
            </w:r>
          </w:p>
        </w:tc>
      </w:tr>
      <w:tr w:rsidR="00391E4F" w14:paraId="0D468EB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B5FCBE4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51D943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0,882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CCBAA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0,615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B21986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0,296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2E1357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0,400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4CCBB9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0,918</w:t>
            </w:r>
          </w:p>
        </w:tc>
      </w:tr>
    </w:tbl>
    <w:p w:rsidR="00C16CB7" w:rsidP="00C16CB7" w:rsidRDefault="00C16CB7" w14:paraId="54082DEE" w14:textId="4824D7B7">
      <w:pPr>
        <w:pStyle w:val="Legenda"/>
        <w:keepNext/>
        <w:jc w:val="center"/>
      </w:pPr>
      <w:bookmarkStart w:name="_Toc233107175" w:id="59"/>
      <w:bookmarkStart w:name="_Toc233107429" w:id="6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11</w:t>
      </w:r>
      <w:r>
        <w:fldChar w:fldCharType="end"/>
      </w:r>
      <w:r>
        <w:t xml:space="preserve"> -</w:t>
      </w:r>
      <w:r w:rsidRPr="00F0346B">
        <w:t xml:space="preserve"> Parte I (corte ≥ 7), com </w:t>
      </w:r>
      <w:proofErr w:type="spellStart"/>
      <w:r w:rsidRPr="00F0346B">
        <w:t>class_weight</w:t>
      </w:r>
      <w:proofErr w:type="spellEnd"/>
      <w:r w:rsidRPr="00F0346B">
        <w:t xml:space="preserve"> = '</w:t>
      </w:r>
      <w:proofErr w:type="spellStart"/>
      <w:r w:rsidRPr="00F0346B">
        <w:t>balanced</w:t>
      </w:r>
      <w:proofErr w:type="spellEnd"/>
      <w:r w:rsidRPr="00F0346B">
        <w:t>'. Ordenado por F1-Score.</w:t>
      </w:r>
      <w:bookmarkEnd w:id="59"/>
      <w:bookmarkEnd w:id="60"/>
    </w:p>
    <w:p w:rsidR="00391E4F" w:rsidRDefault="00000000" w14:paraId="0F592651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4354E2D" wp14:editId="5C04CA85">
            <wp:extent cx="5524500" cy="2800350"/>
            <wp:effectExtent l="0" t="0" r="0" b="0"/>
            <wp:docPr id="560173186" name="Imagem 5601731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C16CB7" w:rsidRDefault="00C16CB7" w14:paraId="6A1FA187" w14:textId="04E0867B">
      <w:pPr>
        <w:pStyle w:val="Legenda"/>
        <w:jc w:val="center"/>
      </w:pPr>
      <w:bookmarkStart w:name="_Toc233107016" w:id="61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10</w:t>
      </w:r>
      <w:r>
        <w:fldChar w:fldCharType="end"/>
      </w:r>
      <w:r>
        <w:t xml:space="preserve"> -</w:t>
      </w:r>
      <w:r w:rsidRPr="00713A64">
        <w:t xml:space="preserve"> F1-Score por modelo na Parte I, com ajuste de peso das classes.</w:t>
      </w:r>
      <w:bookmarkEnd w:id="61"/>
    </w:p>
    <w:p w:rsidR="007C5C81" w:rsidRDefault="007C5C81" w14:paraId="21D20CC3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="00391E4F" w:rsidRDefault="00000000" w14:paraId="5A84A968" w14:textId="5FBAF190">
      <w:pPr>
        <w:pStyle w:val="Ttulo1"/>
      </w:pPr>
      <w:bookmarkStart w:name="_Toc233109779" w:id="62"/>
      <w:r>
        <w:t>6. Avaliação — Parte II (corte ≥ 6, equilibrado)</w:t>
      </w:r>
      <w:bookmarkEnd w:id="62"/>
    </w:p>
    <w:p w:rsidR="00391E4F" w:rsidRDefault="00000000" w14:paraId="2E63F42B" w14:textId="77777777">
      <w:pPr>
        <w:pStyle w:val="Ttulo2"/>
      </w:pPr>
      <w:bookmarkStart w:name="_Toc233109780" w:id="63"/>
      <w:r>
        <w:t>6.1 Comparação entre os modelos</w:t>
      </w:r>
      <w:bookmarkEnd w:id="63"/>
    </w:p>
    <w:p w:rsidR="00391E4F" w:rsidRDefault="00000000" w14:paraId="1D4E9CB9" w14:textId="49DABDCD">
      <w:pPr>
        <w:spacing w:after="120" w:line="264" w:lineRule="auto"/>
        <w:jc w:val="both"/>
      </w:pPr>
      <w:r>
        <w:t xml:space="preserve">No cenário equilibrado os números tornam-se confiáveis. No teste,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(0,789), SVM (0,784), Random Forest (0,768) e Regressão Logística (0,758) ficam próximos. Em validação cruzada, a </w:t>
      </w:r>
      <w:r>
        <w:rPr>
          <w:b/>
          <w:bCs/>
        </w:rPr>
        <w:t>Random Forest tem o melhor F1 médio</w:t>
      </w:r>
      <w:r>
        <w:t xml:space="preserve"> (0,7623) e o menor desvio (± 0,015) — é a mais robusta e a mais estável entre execuções. A proximidade indica que o teto vem da dificuldade do problema, não do algoritmo (confirmado na Seção 6.4).</w:t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60"/>
        <w:gridCol w:w="1320"/>
        <w:gridCol w:w="1320"/>
        <w:gridCol w:w="1320"/>
        <w:gridCol w:w="1320"/>
        <w:gridCol w:w="1320"/>
      </w:tblGrid>
      <w:tr w:rsidR="00391E4F" w14:paraId="13468D4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9D04B0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BC98012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Acurácia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430BDA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32A97D2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40EFCC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E051014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ROC-AUC</w:t>
            </w:r>
          </w:p>
        </w:tc>
      </w:tr>
      <w:tr w:rsidR="00391E4F" w14:paraId="55B3C72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4A7D277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541CCA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5465E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8D61CD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0,826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91D60B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714029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0,825</w:t>
            </w:r>
          </w:p>
        </w:tc>
      </w:tr>
      <w:tr w:rsidR="00391E4F" w14:paraId="288AA096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CEBDF7C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FE97A5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B07B48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0,770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1A54CB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0,798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D7E33F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0,784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9BAEB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0,817</w:t>
            </w:r>
          </w:p>
        </w:tc>
      </w:tr>
      <w:tr w:rsidR="00391E4F" w14:paraId="1E4C9CE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93F68DD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0A6E65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0,745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DDF5B5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CBFFA3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BEFC3A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831170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0,803</w:t>
            </w:r>
          </w:p>
        </w:tc>
      </w:tr>
      <w:tr w:rsidR="00391E4F" w14:paraId="790C1A3B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C2C9A24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6224ED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0,730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D36657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0,729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ADE7EC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4B1C91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37C77C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0,808</w:t>
            </w:r>
          </w:p>
        </w:tc>
      </w:tr>
      <w:tr w:rsidR="00391E4F" w14:paraId="6F004EC0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0573CD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KNN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DC53A0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0,716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24EF98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0,718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C8711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0,771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6A825A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BA23E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0,756</w:t>
            </w:r>
          </w:p>
        </w:tc>
      </w:tr>
      <w:tr w:rsidR="00391E4F" w14:paraId="788E69C2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9DA02EC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Bayes</w:t>
            </w:r>
            <w:proofErr w:type="spellEnd"/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BAF1C9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0,721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7E85BE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0,736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81B0D6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0DE09C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0,740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128E2B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0,779</w:t>
            </w:r>
          </w:p>
        </w:tc>
      </w:tr>
      <w:tr w:rsidR="00391E4F" w14:paraId="41DB990F" w14:textId="77777777">
        <w:tblPrEx>
          <w:tblCellMar>
            <w:top w:w="0" w:type="dxa"/>
            <w:bottom w:w="0" w:type="dxa"/>
          </w:tblCellMar>
        </w:tblPrEx>
        <w:tc>
          <w:tcPr>
            <w:tcW w:w="27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A7C36A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Árvore de Decisão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A48A1C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0,686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F72CFE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0,703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29E490C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0,716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D654EC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0,709</w:t>
            </w:r>
          </w:p>
        </w:tc>
        <w:tc>
          <w:tcPr>
            <w:tcW w:w="132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28C77C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0,684</w:t>
            </w:r>
          </w:p>
        </w:tc>
      </w:tr>
    </w:tbl>
    <w:p w:rsidR="00C16CB7" w:rsidP="00C16CB7" w:rsidRDefault="00C16CB7" w14:paraId="3D2916C5" w14:textId="52A40371">
      <w:pPr>
        <w:pStyle w:val="Legenda"/>
        <w:keepNext/>
        <w:jc w:val="center"/>
      </w:pPr>
      <w:bookmarkStart w:name="_Toc233107176" w:id="64"/>
      <w:bookmarkStart w:name="_Toc233107430" w:id="6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12</w:t>
      </w:r>
      <w:r>
        <w:fldChar w:fldCharType="end"/>
      </w:r>
      <w:r>
        <w:t xml:space="preserve"> -</w:t>
      </w:r>
      <w:r w:rsidRPr="00E8406B">
        <w:t xml:space="preserve"> Parte II (corte ≥ 6): desempenho no conjunto de teste. Ordenado por F1-Score.</w:t>
      </w:r>
      <w:bookmarkEnd w:id="64"/>
      <w:bookmarkEnd w:id="65"/>
    </w:p>
    <w:p w:rsidR="00391E4F" w:rsidRDefault="00000000" w14:paraId="26E41E80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3EDA36AB" wp14:editId="54701C9B">
            <wp:extent cx="5524500" cy="2800350"/>
            <wp:effectExtent l="0" t="0" r="0" b="0"/>
            <wp:docPr id="1673043609" name="Imagem 16730436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2800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22D77AFE" w14:textId="73019DED">
      <w:pPr>
        <w:pStyle w:val="Legenda"/>
        <w:jc w:val="center"/>
      </w:pPr>
      <w:bookmarkStart w:name="_Toc233107017" w:id="6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11</w:t>
      </w:r>
      <w:r>
        <w:fldChar w:fldCharType="end"/>
      </w:r>
      <w:r>
        <w:t>-</w:t>
      </w:r>
      <w:r w:rsidRPr="00227C5F">
        <w:t xml:space="preserve"> F1-Score por modelo na Parte II (conjunto de teste).</w:t>
      </w:r>
      <w:bookmarkEnd w:id="66"/>
    </w:p>
    <w:p w:rsidR="007C5C81" w:rsidRDefault="007C5C81" w14:paraId="20B3A36E" w14:textId="77777777">
      <w:pPr>
        <w:rPr>
          <w:i/>
          <w:iCs/>
          <w:color w:val="595959"/>
          <w:sz w:val="18"/>
          <w:szCs w:val="18"/>
        </w:rPr>
      </w:pPr>
      <w:r>
        <w:rPr>
          <w:i/>
          <w:iCs/>
          <w:color w:val="595959"/>
          <w:sz w:val="18"/>
          <w:szCs w:val="18"/>
        </w:rP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60"/>
        <w:gridCol w:w="2800"/>
        <w:gridCol w:w="2000"/>
      </w:tblGrid>
      <w:tr w:rsidR="00391E4F" w14:paraId="1A7FC75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96E10F7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E8D92F8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médio (validação cruzada)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84C199E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Desvio-padrão</w:t>
            </w:r>
          </w:p>
        </w:tc>
      </w:tr>
      <w:tr w:rsidR="00391E4F" w14:paraId="5BC324AB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30E7779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D0A18E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0,7623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76A156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0,015</w:t>
            </w:r>
          </w:p>
        </w:tc>
      </w:tr>
      <w:tr w:rsidR="00391E4F" w14:paraId="30FCA48A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862ACAE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C87730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0,7555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354383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0,017</w:t>
            </w:r>
          </w:p>
        </w:tc>
      </w:tr>
      <w:tr w:rsidR="00391E4F" w14:paraId="6BEFAF0E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411BD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7D5316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0,7547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8D48498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0,021</w:t>
            </w:r>
          </w:p>
        </w:tc>
      </w:tr>
      <w:tr w:rsidR="00391E4F" w14:paraId="1F905FE1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51BA53E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Naive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Bayes</w:t>
            </w:r>
            <w:proofErr w:type="spellEnd"/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9F30C9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0,7502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61F7320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0,020</w:t>
            </w:r>
          </w:p>
        </w:tc>
      </w:tr>
      <w:tr w:rsidR="00391E4F" w14:paraId="19B3725D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0BAF8A2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FE113A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0,7488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8BCAFD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0,021</w:t>
            </w:r>
          </w:p>
        </w:tc>
      </w:tr>
      <w:tr w:rsidR="00391E4F" w14:paraId="3E3CB85F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437170B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KNN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07BB423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0,7220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4BA683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0,029</w:t>
            </w:r>
          </w:p>
        </w:tc>
      </w:tr>
      <w:tr w:rsidR="00391E4F" w14:paraId="212FBF78" w14:textId="77777777">
        <w:tblPrEx>
          <w:tblCellMar>
            <w:top w:w="0" w:type="dxa"/>
            <w:bottom w:w="0" w:type="dxa"/>
          </w:tblCellMar>
        </w:tblPrEx>
        <w:tc>
          <w:tcPr>
            <w:tcW w:w="45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A79E117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Árvore de Decisão</w:t>
            </w:r>
          </w:p>
        </w:tc>
        <w:tc>
          <w:tcPr>
            <w:tcW w:w="28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0BCFB41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0,6882</w:t>
            </w:r>
          </w:p>
        </w:tc>
        <w:tc>
          <w:tcPr>
            <w:tcW w:w="20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CFFECE5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± 0,020</w:t>
            </w:r>
          </w:p>
        </w:tc>
      </w:tr>
    </w:tbl>
    <w:p w:rsidR="00C16CB7" w:rsidP="00C16CB7" w:rsidRDefault="00C16CB7" w14:paraId="726C424D" w14:textId="7DDC7FC5">
      <w:pPr>
        <w:pStyle w:val="Legenda"/>
        <w:keepNext/>
        <w:jc w:val="center"/>
      </w:pPr>
      <w:bookmarkStart w:name="_Toc233107177" w:id="67"/>
      <w:bookmarkStart w:name="_Toc233107431" w:id="68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13</w:t>
      </w:r>
      <w:r>
        <w:fldChar w:fldCharType="end"/>
      </w:r>
      <w:r>
        <w:t xml:space="preserve"> -</w:t>
      </w:r>
      <w:r w:rsidRPr="009E6E75">
        <w:t xml:space="preserve"> Estabilidade dos modelos: F1 médio e desvio em validação cruzada (5 dobras).</w:t>
      </w:r>
      <w:bookmarkEnd w:id="67"/>
      <w:bookmarkEnd w:id="68"/>
    </w:p>
    <w:p w:rsidR="00391E4F" w:rsidRDefault="00000000" w14:paraId="57BF73E2" w14:textId="288CC2C6">
      <w:pPr>
        <w:pStyle w:val="Ttulo2"/>
      </w:pPr>
      <w:bookmarkStart w:name="_Toc233109781" w:id="69"/>
      <w:r>
        <w:t>6.2 O trade-off entre os dois erros e o impacto no negócio</w:t>
      </w:r>
      <w:bookmarkEnd w:id="69"/>
    </w:p>
    <w:p w:rsidR="00391E4F" w:rsidRDefault="00000000" w14:paraId="66CD93B2" w14:textId="77777777">
      <w:pPr>
        <w:spacing w:after="120" w:line="264" w:lineRule="auto"/>
        <w:jc w:val="both"/>
      </w:pPr>
      <w:r>
        <w:rPr>
          <w:b/>
          <w:bCs/>
        </w:rPr>
        <w:t>Falso positivo</w:t>
      </w:r>
      <w:r>
        <w:t xml:space="preserve"> — prever “Alta” para um vinho comum → produto premium aquém da expectativa, risco de devolução e dano à marca; pede maior precisão (SVM 0,770;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0,756). </w:t>
      </w:r>
      <w:r>
        <w:rPr>
          <w:b/>
          <w:bCs/>
        </w:rPr>
        <w:t>Falso negativo</w:t>
      </w:r>
      <w:r>
        <w:t xml:space="preserve"> — prever “Baixa/Média” para um vinho excelente → perda direta de receita; pede maior recall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0,826). A matriz de confusão contrasta o modelo recomendado (Random Forest otimizada) com o líder de F1 no teste (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>).</w:t>
      </w:r>
    </w:p>
    <w:p w:rsidR="00391E4F" w:rsidRDefault="00000000" w14:paraId="77A7F165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C064205" wp14:editId="4544C6F8">
            <wp:extent cx="5086692" cy="2078528"/>
            <wp:effectExtent l="0" t="0" r="0" b="4445"/>
            <wp:docPr id="1853025152" name="Imagem 18530251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49053" cy="21040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4D7BC57C" w14:textId="54E93E07">
      <w:pPr>
        <w:pStyle w:val="Legenda"/>
        <w:jc w:val="center"/>
      </w:pPr>
      <w:bookmarkStart w:name="_Toc233107018" w:id="70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12</w:t>
      </w:r>
      <w:r>
        <w:fldChar w:fldCharType="end"/>
      </w:r>
      <w:r>
        <w:t xml:space="preserve"> -</w:t>
      </w:r>
      <w:r w:rsidRPr="006F3C06">
        <w:t xml:space="preserve"> Matrizes de confusão no conjunto de teste (corte ≥ 6): recomendado × melhor F1.</w:t>
      </w:r>
      <w:bookmarkEnd w:id="70"/>
    </w:p>
    <w:p w:rsidR="00391E4F" w:rsidRDefault="00000000" w14:paraId="6192C679" w14:textId="77777777">
      <w:pPr>
        <w:pStyle w:val="Ttulo2"/>
      </w:pPr>
      <w:bookmarkStart w:name="_Toc233109782" w:id="71"/>
      <w:r>
        <w:t>6.3 Capacidade de separação (curva ROC)</w:t>
      </w:r>
      <w:bookmarkEnd w:id="71"/>
    </w:p>
    <w:p w:rsidR="00391E4F" w:rsidRDefault="00000000" w14:paraId="56D4F1AA" w14:textId="77777777">
      <w:pPr>
        <w:spacing w:after="120" w:line="264" w:lineRule="auto"/>
        <w:jc w:val="both"/>
      </w:pPr>
      <w:r>
        <w:t xml:space="preserve">A maior área sob a curva ROC é do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(0,825), seguido por SVM (0,817), Regressão Logística (0,808) e Random Forest (0,803). Todos separam bem as classes (AUC ≈ 0,80), mesmo que o limiar-padrão não seja ideal para todos os cenários de negócio.</w:t>
      </w:r>
    </w:p>
    <w:p w:rsidR="00391E4F" w:rsidRDefault="00000000" w14:paraId="4247E6AB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2353500E" wp14:editId="44234749">
            <wp:extent cx="5064790" cy="4305072"/>
            <wp:effectExtent l="0" t="0" r="2540" b="635"/>
            <wp:docPr id="259100170" name="Imagem 2591001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92437" cy="43285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1E4F" w:rsidP="00C16CB7" w:rsidRDefault="00C16CB7" w14:paraId="5B68F4C7" w14:textId="6F9B161A">
      <w:pPr>
        <w:pStyle w:val="Legenda"/>
        <w:jc w:val="center"/>
      </w:pPr>
      <w:bookmarkStart w:name="_Toc233107019" w:id="72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13</w:t>
      </w:r>
      <w:r>
        <w:fldChar w:fldCharType="end"/>
      </w:r>
      <w:r>
        <w:t xml:space="preserve"> -</w:t>
      </w:r>
      <w:r w:rsidRPr="009E0CD0">
        <w:t xml:space="preserve"> Curvas ROC dos sete modelos (corte ≥ 6), com as respectivas áreas (AUC).</w:t>
      </w:r>
      <w:bookmarkEnd w:id="72"/>
    </w:p>
    <w:p w:rsidR="00391E4F" w:rsidRDefault="00000000" w14:paraId="64835B25" w14:textId="77777777">
      <w:pPr>
        <w:pStyle w:val="Ttulo2"/>
      </w:pPr>
      <w:bookmarkStart w:name="_Toc233109783" w:id="73"/>
      <w:r>
        <w:t>6.4 Significância estatística e robustez das diferenças</w:t>
      </w:r>
      <w:bookmarkEnd w:id="73"/>
    </w:p>
    <w:p w:rsidR="00391E4F" w:rsidRDefault="00000000" w14:paraId="1E4C8704" w14:textId="77777777">
      <w:pPr>
        <w:spacing w:after="120" w:line="264" w:lineRule="auto"/>
        <w:jc w:val="both"/>
      </w:pPr>
      <w:r>
        <w:t>Para responder “as diferenças entre os melhores modelos são reais?”, aplicamos quatro instrumentos:</w:t>
      </w:r>
    </w:p>
    <w:p w:rsidR="00391E4F" w:rsidRDefault="00000000" w14:paraId="78E45F7E" w14:textId="77777777">
      <w:pPr>
        <w:pStyle w:val="PargrafodaLista"/>
        <w:numPr>
          <w:ilvl w:val="0"/>
          <w:numId w:val="3"/>
        </w:numPr>
        <w:spacing w:after="80" w:line="264" w:lineRule="auto"/>
        <w:jc w:val="both"/>
      </w:pPr>
      <w:proofErr w:type="spellStart"/>
      <w:r>
        <w:rPr>
          <w:b/>
          <w:bCs/>
        </w:rPr>
        <w:t>McNemar</w:t>
      </w:r>
      <w:proofErr w:type="spellEnd"/>
      <w:r>
        <w:t xml:space="preserve"> (acertos/erros pareados no teste):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× SVM p = 1,00;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× Random Forest p ≈ 0,54; Regressão Logística × Random Forest p ≈ 0,73 — nenhuma diferença significativa.</w:t>
      </w:r>
    </w:p>
    <w:p w:rsidR="00391E4F" w:rsidRDefault="00000000" w14:paraId="6C306A12" w14:textId="77777777">
      <w:pPr>
        <w:pStyle w:val="PargrafodaLista"/>
        <w:numPr>
          <w:ilvl w:val="0"/>
          <w:numId w:val="3"/>
        </w:numPr>
        <w:spacing w:after="80" w:line="264" w:lineRule="auto"/>
        <w:jc w:val="both"/>
      </w:pPr>
      <w:r>
        <w:rPr>
          <w:b/>
          <w:bCs/>
        </w:rPr>
        <w:t>Comparação pareada por dobras</w:t>
      </w:r>
      <w:r>
        <w:t xml:space="preserve"> (Random Forest × Regressão Logística): diferença média 0,0076, p ≈ 0,55.</w:t>
      </w:r>
    </w:p>
    <w:p w:rsidR="00391E4F" w:rsidRDefault="00000000" w14:paraId="186213C7" w14:textId="77777777">
      <w:pPr>
        <w:pStyle w:val="PargrafodaLista"/>
        <w:numPr>
          <w:ilvl w:val="0"/>
          <w:numId w:val="3"/>
        </w:numPr>
        <w:spacing w:after="80" w:line="264" w:lineRule="auto"/>
        <w:jc w:val="both"/>
      </w:pPr>
      <w:proofErr w:type="spellStart"/>
      <w:r>
        <w:rPr>
          <w:b/>
          <w:bCs/>
        </w:rPr>
        <w:t>Bootstrap</w:t>
      </w:r>
      <w:proofErr w:type="spellEnd"/>
      <w:r>
        <w:rPr>
          <w:b/>
          <w:bCs/>
        </w:rPr>
        <w:t xml:space="preserve"> (IC 95%) do F1 no teste</w:t>
      </w:r>
      <w:r>
        <w:t>: os intervalos se sobrepõem amplamente (ver Tabela 14).</w:t>
      </w:r>
    </w:p>
    <w:p w:rsidR="00EC421C" w:rsidRDefault="00000000" w14:paraId="059D67AD" w14:textId="58746A96">
      <w:pPr>
        <w:pStyle w:val="PargrafodaLista"/>
        <w:numPr>
          <w:ilvl w:val="0"/>
          <w:numId w:val="3"/>
        </w:numPr>
        <w:spacing w:after="80" w:line="264" w:lineRule="auto"/>
        <w:jc w:val="both"/>
      </w:pPr>
      <w:r>
        <w:rPr>
          <w:b/>
          <w:bCs/>
        </w:rPr>
        <w:t xml:space="preserve">Curva </w:t>
      </w:r>
      <w:proofErr w:type="spellStart"/>
      <w:r>
        <w:rPr>
          <w:b/>
          <w:bCs/>
        </w:rPr>
        <w:t>Precision</w:t>
      </w:r>
      <w:proofErr w:type="spellEnd"/>
      <w:r>
        <w:rPr>
          <w:b/>
          <w:bCs/>
        </w:rPr>
        <w:t>-Recall (Figura 14)</w:t>
      </w:r>
      <w:r>
        <w:t xml:space="preserve">: a Regressão Logística tem a maior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 (0,833), com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(0,831) e SVM (0,824) logo atrás.</w:t>
      </w:r>
    </w:p>
    <w:p w:rsidR="00EC421C" w:rsidRDefault="00EC421C" w14:paraId="114D2AEC" w14:textId="0E2DD4CD">
      <w:r>
        <w:br w:type="page"/>
      </w:r>
    </w:p>
    <w:tbl>
      <w:tblPr>
        <w:tblW w:w="936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360"/>
        <w:gridCol w:w="2400"/>
        <w:gridCol w:w="3600"/>
      </w:tblGrid>
      <w:tr w:rsidR="00391E4F" w14:paraId="3D04407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29F1C09" w14:textId="77777777">
            <w:pPr>
              <w:spacing w:line="248" w:lineRule="auto"/>
            </w:pPr>
            <w:r>
              <w:rPr>
                <w:b/>
                <w:bCs/>
                <w:color w:val="FFFFFF"/>
                <w:sz w:val="19"/>
                <w:szCs w:val="19"/>
              </w:rPr>
              <w:t>Modelo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D0343FC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 (teste)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2F5496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153F5A9" w14:textId="77777777">
            <w:pPr>
              <w:spacing w:line="248" w:lineRule="auto"/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IC 95% (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bootstrap</w:t>
            </w:r>
            <w:proofErr w:type="spellEnd"/>
            <w:r>
              <w:rPr>
                <w:b/>
                <w:bCs/>
                <w:color w:val="FFFFFF"/>
                <w:sz w:val="19"/>
                <w:szCs w:val="19"/>
              </w:rPr>
              <w:t>)</w:t>
            </w:r>
          </w:p>
        </w:tc>
      </w:tr>
      <w:tr w:rsidR="00391E4F" w14:paraId="6F84A05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729060A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Regressão Logística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2BD9A96A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0,758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845240B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[</w:t>
            </w:r>
            <w:proofErr w:type="gramStart"/>
            <w:r>
              <w:rPr>
                <w:color w:val="000000"/>
                <w:sz w:val="19"/>
                <w:szCs w:val="19"/>
              </w:rPr>
              <w:t>0,691 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0,816]</w:t>
            </w:r>
          </w:p>
        </w:tc>
      </w:tr>
      <w:tr w:rsidR="00391E4F" w14:paraId="39FF02EC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4E0854D1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Random Forest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30AAB1B7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0,768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1F708084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[</w:t>
            </w:r>
            <w:proofErr w:type="gramStart"/>
            <w:r>
              <w:rPr>
                <w:color w:val="000000"/>
                <w:sz w:val="19"/>
                <w:szCs w:val="19"/>
              </w:rPr>
              <w:t>0,704 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0,828]</w:t>
            </w:r>
          </w:p>
        </w:tc>
      </w:tr>
      <w:tr w:rsidR="00391E4F" w14:paraId="1C3CF668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071FEFB4" w14:textId="77777777">
            <w:pPr>
              <w:spacing w:line="248" w:lineRule="auto"/>
            </w:pPr>
            <w:proofErr w:type="spellStart"/>
            <w:r>
              <w:rPr>
                <w:color w:val="000000"/>
                <w:sz w:val="19"/>
                <w:szCs w:val="19"/>
              </w:rPr>
              <w:t>Gradient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</w:t>
            </w:r>
            <w:proofErr w:type="spellStart"/>
            <w:r>
              <w:rPr>
                <w:color w:val="000000"/>
                <w:sz w:val="19"/>
                <w:szCs w:val="19"/>
              </w:rPr>
              <w:t>Boosting</w:t>
            </w:r>
            <w:proofErr w:type="spellEnd"/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F3B894E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0,789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FFFFFF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A0F6906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[</w:t>
            </w:r>
            <w:proofErr w:type="gramStart"/>
            <w:r>
              <w:rPr>
                <w:color w:val="000000"/>
                <w:sz w:val="19"/>
                <w:szCs w:val="19"/>
              </w:rPr>
              <w:t>0,726 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0,845]</w:t>
            </w:r>
          </w:p>
        </w:tc>
      </w:tr>
      <w:tr w:rsidR="00391E4F" w14:paraId="4B137863" w14:textId="77777777">
        <w:tblPrEx>
          <w:tblCellMar>
            <w:top w:w="0" w:type="dxa"/>
            <w:bottom w:w="0" w:type="dxa"/>
          </w:tblCellMar>
        </w:tblPrEx>
        <w:tc>
          <w:tcPr>
            <w:tcW w:w="336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69C5A47B" w14:textId="77777777">
            <w:pPr>
              <w:spacing w:line="248" w:lineRule="auto"/>
            </w:pPr>
            <w:r>
              <w:rPr>
                <w:color w:val="000000"/>
                <w:sz w:val="19"/>
                <w:szCs w:val="19"/>
              </w:rPr>
              <w:t>SVM</w:t>
            </w:r>
          </w:p>
        </w:tc>
        <w:tc>
          <w:tcPr>
            <w:tcW w:w="24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5E44056F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0,784</w:t>
            </w:r>
          </w:p>
        </w:tc>
        <w:tc>
          <w:tcPr>
            <w:tcW w:w="3600" w:type="dxa"/>
            <w:tcBorders>
              <w:top w:val="single" w:color="BFBFBF" w:sz="1" w:space="0"/>
              <w:left w:val="single" w:color="BFBFBF" w:sz="1" w:space="0"/>
              <w:bottom w:val="single" w:color="BFBFBF" w:sz="1" w:space="0"/>
              <w:right w:val="single" w:color="BFBFBF" w:sz="1" w:space="0"/>
            </w:tcBorders>
            <w:shd w:val="clear" w:color="auto" w:fill="EAF0F7"/>
            <w:tcMar>
              <w:top w:w="50" w:type="dxa"/>
              <w:left w:w="110" w:type="dxa"/>
              <w:bottom w:w="50" w:type="dxa"/>
              <w:right w:w="110" w:type="dxa"/>
            </w:tcMar>
            <w:vAlign w:val="center"/>
          </w:tcPr>
          <w:p w:rsidR="00391E4F" w:rsidRDefault="00000000" w14:paraId="72914BBD" w14:textId="77777777">
            <w:pPr>
              <w:spacing w:line="248" w:lineRule="auto"/>
              <w:jc w:val="center"/>
            </w:pPr>
            <w:r>
              <w:rPr>
                <w:color w:val="000000"/>
                <w:sz w:val="19"/>
                <w:szCs w:val="19"/>
              </w:rPr>
              <w:t>[</w:t>
            </w:r>
            <w:proofErr w:type="gramStart"/>
            <w:r>
              <w:rPr>
                <w:color w:val="000000"/>
                <w:sz w:val="19"/>
                <w:szCs w:val="19"/>
              </w:rPr>
              <w:t>0,718 ;</w:t>
            </w:r>
            <w:proofErr w:type="gramEnd"/>
            <w:r>
              <w:rPr>
                <w:color w:val="000000"/>
                <w:sz w:val="19"/>
                <w:szCs w:val="19"/>
              </w:rPr>
              <w:t xml:space="preserve"> 0,841]</w:t>
            </w:r>
          </w:p>
        </w:tc>
      </w:tr>
    </w:tbl>
    <w:p w:rsidR="00C16CB7" w:rsidP="00C16CB7" w:rsidRDefault="00C16CB7" w14:paraId="4D0A190F" w14:textId="57CE8D9A">
      <w:pPr>
        <w:pStyle w:val="Legenda"/>
        <w:keepNext/>
        <w:jc w:val="center"/>
      </w:pPr>
      <w:bookmarkStart w:name="_Toc233107178" w:id="74"/>
      <w:bookmarkStart w:name="_Toc233107432" w:id="75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14</w:t>
      </w:r>
      <w:r>
        <w:fldChar w:fldCharType="end"/>
      </w:r>
      <w:r>
        <w:t xml:space="preserve"> -</w:t>
      </w:r>
      <w:r w:rsidRPr="00D6561A">
        <w:t xml:space="preserve"> F1 de teste e intervalo de confiança de 95% (</w:t>
      </w:r>
      <w:proofErr w:type="spellStart"/>
      <w:r w:rsidRPr="00D6561A">
        <w:t>bootstrap</w:t>
      </w:r>
      <w:proofErr w:type="spellEnd"/>
      <w:r w:rsidRPr="00D6561A">
        <w:t>, 3.000 reamostragens).</w:t>
      </w:r>
      <w:bookmarkEnd w:id="74"/>
      <w:bookmarkEnd w:id="75"/>
    </w:p>
    <w:p w:rsidR="00391E4F" w:rsidRDefault="00000000" w14:paraId="6A437970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10F969D7" wp14:editId="0B481B06">
            <wp:extent cx="5278333" cy="4486583"/>
            <wp:effectExtent l="0" t="0" r="5080" b="0"/>
            <wp:docPr id="1352645098" name="Imagem 1352645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0562" cy="450547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446E414D" w14:textId="448DAD40">
      <w:pPr>
        <w:pStyle w:val="Legenda"/>
        <w:jc w:val="center"/>
      </w:pPr>
      <w:bookmarkStart w:name="_Toc233107020" w:id="76"/>
      <w:r>
        <w:t xml:space="preserve">Figura </w:t>
      </w:r>
      <w:r>
        <w:fldChar w:fldCharType="begin"/>
      </w:r>
      <w:r>
        <w:instrText xml:space="preserve"> SEQ Figura \* ARABIC </w:instrText>
      </w:r>
      <w:r>
        <w:fldChar w:fldCharType="separate"/>
      </w:r>
      <w:r w:rsidR="00272343">
        <w:rPr>
          <w:noProof/>
        </w:rPr>
        <w:t>14</w:t>
      </w:r>
      <w:r>
        <w:fldChar w:fldCharType="end"/>
      </w:r>
      <w:r>
        <w:t xml:space="preserve"> -</w:t>
      </w:r>
      <w:r w:rsidRPr="008C35D0">
        <w:t xml:space="preserve"> Curvas </w:t>
      </w:r>
      <w:proofErr w:type="spellStart"/>
      <w:r w:rsidRPr="008C35D0">
        <w:t>Precision</w:t>
      </w:r>
      <w:proofErr w:type="spellEnd"/>
      <w:r w:rsidRPr="008C35D0">
        <w:t xml:space="preserve">-Recall (corte ≥ 6), com </w:t>
      </w:r>
      <w:proofErr w:type="spellStart"/>
      <w:r w:rsidRPr="008C35D0">
        <w:t>Average</w:t>
      </w:r>
      <w:proofErr w:type="spellEnd"/>
      <w:r w:rsidRPr="008C35D0">
        <w:t xml:space="preserve"> </w:t>
      </w:r>
      <w:proofErr w:type="spellStart"/>
      <w:r w:rsidRPr="008C35D0">
        <w:t>Precision</w:t>
      </w:r>
      <w:proofErr w:type="spellEnd"/>
      <w:r w:rsidRPr="008C35D0">
        <w:t xml:space="preserve"> (AP).</w:t>
      </w:r>
      <w:bookmarkEnd w:id="76"/>
    </w:p>
    <w:p w:rsidR="00391E4F" w:rsidRDefault="00000000" w14:paraId="62CC95DE" w14:textId="77777777">
      <w:pPr>
        <w:spacing w:after="120" w:line="264" w:lineRule="auto"/>
        <w:jc w:val="both"/>
      </w:pPr>
      <w:r>
        <w:rPr>
          <w:b/>
          <w:bCs/>
        </w:rPr>
        <w:t>Conclusão:</w:t>
      </w:r>
      <w:r>
        <w:t xml:space="preserve"> no topo, os modelos são estatisticamente indistinguíveis. A escolha do modelo de produção deve ser feita por critérios operacionais (estabilidade, robustez, </w:t>
      </w:r>
      <w:proofErr w:type="spellStart"/>
      <w:r>
        <w:t>interpretabilidade</w:t>
      </w:r>
      <w:proofErr w:type="spellEnd"/>
      <w:r>
        <w:t>), não pelo F1 de uma única partição. Isso responde diretamente à pergunta “se um modelo teve o melhor F1, por que não é o principal?”: a vantagem não é estatisticamente real.</w:t>
      </w:r>
    </w:p>
    <w:p w:rsidR="007C5C81" w:rsidP="00EC421C" w:rsidRDefault="00000000" w14:paraId="07F02B2F" w14:textId="68417B03">
      <w:pPr>
        <w:spacing w:after="120" w:line="264" w:lineRule="auto"/>
        <w:jc w:val="both"/>
        <w:rPr>
          <w:b/>
          <w:bCs/>
          <w:color w:val="2F5496"/>
          <w:sz w:val="30"/>
          <w:szCs w:val="30"/>
        </w:rPr>
      </w:pPr>
      <w:r>
        <w:t xml:space="preserve">Uma pergunta natural: se 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obteve o melhor F1 no conjunto de teste (0,789), por que recomendar a Random Forest (0,768)? Porque o F1 de uma única partição de teste, com apenas 204 amostras, é uma estimativa ruidosa. Os testes de </w:t>
      </w:r>
      <w:proofErr w:type="spellStart"/>
      <w:r>
        <w:t>McNemar</w:t>
      </w:r>
      <w:proofErr w:type="spellEnd"/>
      <w:r>
        <w:t xml:space="preserve"> e pareado mostram que as diferenças no topo do ranking não são estatisticamente significativas; e na validação cruzada — mais robusta, por reaproveitar cinco partições — a Random Forest tem o melhor F1 médio (0,7623) e a menor variância (± 0,015), enquanto 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recua para 0,7555 e o SVM, segundo melhor no teste (0,784), cai para 0,7488. A recomendação prioriza, portanto, o desempenho estável e reprodutível sobre o pico de uma única amostra.</w:t>
      </w:r>
      <w:r w:rsidR="007C5C81">
        <w:br w:type="page"/>
      </w:r>
    </w:p>
    <w:p w:rsidR="00391E4F" w:rsidRDefault="00000000" w14:paraId="1BE7E539" w14:textId="143D1F8D">
      <w:pPr>
        <w:pStyle w:val="Ttulo1"/>
      </w:pPr>
      <w:bookmarkStart w:name="_Toc233109784" w:id="77"/>
      <w:r>
        <w:t>7. Interpretação dos Resultados</w:t>
      </w:r>
      <w:bookmarkEnd w:id="77"/>
    </w:p>
    <w:p w:rsidR="00391E4F" w:rsidRDefault="00000000" w14:paraId="2A516DD6" w14:textId="77777777">
      <w:pPr>
        <w:spacing w:after="120" w:line="264" w:lineRule="auto"/>
        <w:jc w:val="both"/>
      </w:pPr>
      <w:r>
        <w:t xml:space="preserve">Entender por que o modelo decide é tão importante quanto saber o quanto ele acerta — é o que transforma um classificador em ferramenta de gestão. Três métodos independentes foram empregados; sua convergência reforça a confiança. A análise usa a Random Forest com os melhores </w:t>
      </w:r>
      <w:proofErr w:type="spellStart"/>
      <w:r>
        <w:t>hiperparâmetros</w:t>
      </w:r>
      <w:proofErr w:type="spellEnd"/>
      <w:r>
        <w:t>, sem padronização (árvores são invariantes à escala).</w:t>
      </w:r>
    </w:p>
    <w:p w:rsidR="00391E4F" w:rsidRDefault="00000000" w14:paraId="10EF7214" w14:textId="77777777">
      <w:pPr>
        <w:pStyle w:val="Ttulo2"/>
      </w:pPr>
      <w:bookmarkStart w:name="_Toc233109785" w:id="78"/>
      <w:r>
        <w:t>7.1 Importância das variáveis pela Random Forest</w:t>
      </w:r>
      <w:bookmarkEnd w:id="78"/>
    </w:p>
    <w:p w:rsidR="00391E4F" w:rsidRDefault="00000000" w14:paraId="4CF819BE" w14:textId="77777777">
      <w:pPr>
        <w:spacing w:after="120" w:line="264" w:lineRule="auto"/>
        <w:jc w:val="both"/>
      </w:pPr>
      <w:r>
        <w:t>O primeiro método mede a contribuição média de cada variável. A ordem: teor alcoólico (0,204), sulfatos (0,135), acidez volátil (0,117), dióxido de enxofre total (0,098), entre as principais. As de menor contribuição (açúcar residual, SO₂ livre) merecem nota: o açúcar residual é também o de mais outliers (9,3%), o que pode diluir seu poder; já o SO₂ livre tem poucos outliers (1,6%), então sua baixa importância não se explica por outliers.</w:t>
      </w:r>
    </w:p>
    <w:p w:rsidR="00391E4F" w:rsidRDefault="00000000" w14:paraId="65007BDE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73F3C72F" wp14:editId="6A2D5081">
            <wp:extent cx="5524500" cy="3228975"/>
            <wp:effectExtent l="0" t="0" r="0" b="0"/>
            <wp:docPr id="59292775" name="Imagem 592927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228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79FF3DEB" w14:textId="12CC6AE6">
      <w:pPr>
        <w:pStyle w:val="Legenda"/>
        <w:keepNext/>
        <w:jc w:val="center"/>
      </w:pPr>
      <w:bookmarkStart w:name="_Toc233107179" w:id="79"/>
      <w:bookmarkStart w:name="_Toc233107433" w:id="80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15</w:t>
      </w:r>
      <w:r>
        <w:fldChar w:fldCharType="end"/>
      </w:r>
      <w:r>
        <w:t xml:space="preserve"> -</w:t>
      </w:r>
      <w:r w:rsidRPr="008608AE">
        <w:t xml:space="preserve"> Importância das variáveis segundo a Random Forest.</w:t>
      </w:r>
      <w:bookmarkEnd w:id="79"/>
      <w:bookmarkEnd w:id="80"/>
    </w:p>
    <w:p w:rsidR="00391E4F" w:rsidRDefault="00000000" w14:paraId="4227B333" w14:textId="77777777">
      <w:pPr>
        <w:pStyle w:val="Ttulo2"/>
      </w:pPr>
      <w:bookmarkStart w:name="_Toc233109786" w:id="81"/>
      <w:r>
        <w:t>7.2 Análise SHAP</w:t>
      </w:r>
      <w:bookmarkEnd w:id="81"/>
    </w:p>
    <w:p w:rsidR="00391E4F" w:rsidRDefault="00000000" w14:paraId="0812910F" w14:textId="77777777">
      <w:pPr>
        <w:spacing w:after="120" w:line="264" w:lineRule="auto"/>
        <w:jc w:val="both"/>
      </w:pPr>
      <w:r>
        <w:t>O SHAP (teoria dos jogos cooperativos) decompõe cada previsão nas contribuições de cada variável, revelando importância, direção e intensidade. A leitura confirma a correlação: teor alcoólico alto empurra fortemente para “alta qualidade”; acidez volátil alta empurra para “baixa qualidade”; sulfatos elevados têm efeito positivo. O SHAP também revela não linearidades — por exemplo, teores alcoólicos muito baixos têm efeito fortemente negativo, sugerindo uma faixa ótima.</w:t>
      </w:r>
    </w:p>
    <w:p w:rsidR="00391E4F" w:rsidRDefault="00000000" w14:paraId="4B53A4A5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67765D6C" wp14:editId="5A901FA0">
            <wp:extent cx="5081217" cy="3837195"/>
            <wp:effectExtent l="0" t="0" r="0" b="0"/>
            <wp:docPr id="289319135" name="Imagem 2893191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5318" cy="38704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3C36BBF7" w14:textId="692D83B9">
      <w:pPr>
        <w:pStyle w:val="Legenda"/>
        <w:keepNext/>
        <w:jc w:val="center"/>
      </w:pPr>
      <w:bookmarkStart w:name="_Toc233107180" w:id="82"/>
      <w:bookmarkStart w:name="_Toc233107434" w:id="83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16</w:t>
      </w:r>
      <w:r>
        <w:fldChar w:fldCharType="end"/>
      </w:r>
      <w:r>
        <w:t xml:space="preserve"> -</w:t>
      </w:r>
      <w:r w:rsidRPr="00867555">
        <w:t xml:space="preserve"> Resumo SHAP: impacto de cada variável na previsão da classe “Alta qualidade”.</w:t>
      </w:r>
      <w:bookmarkEnd w:id="82"/>
      <w:bookmarkEnd w:id="83"/>
    </w:p>
    <w:p w:rsidR="00391E4F" w:rsidRDefault="00000000" w14:paraId="4DB62611" w14:textId="77777777">
      <w:pPr>
        <w:spacing w:after="120" w:line="264" w:lineRule="auto"/>
        <w:jc w:val="both"/>
      </w:pPr>
      <w:r>
        <w:t>Mais do que confirmar a correlação, o SHAP revela não linearidades que uma leitura linear não captaria. No teor alcoólico, o impacto é fortemente negativo abaixo de ~10%, cresce de forma acentuada entre 10% e 12% e atinge o ponto de maior contribuição em torno de 12–12,5%, com leve acomodação nos teores mais altos — o que sustenta a faixa favorável de 11% a 13%. Nos sulfatos, o achado é mais instrutivo: o efeito positivo cresce até cerca de 0,7–0,85 g/L e então satura; acima desse patamar, dosagens maiores não aumentam a contribuição para a classe de alta qualidade (e chegam a recuar levemente). Isso contradiz a leitura ingênua da correlação positiva (+0,258), que sugeriria 'quanto mais, melhor': há um ponto de retorno decrescente, com implicação direta de processo — ajustar os sulfatos a uma faixa intermediária, sem excesso.</w:t>
      </w:r>
    </w:p>
    <w:p w:rsidR="00EC421C" w:rsidP="00EC421C" w:rsidRDefault="00EC421C" w14:paraId="24F7775C" w14:textId="4DA2604C">
      <w:pPr>
        <w:pStyle w:val="Ttulo2"/>
      </w:pPr>
      <w:bookmarkStart w:name="_Toc233109787" w:id="84"/>
      <w:r>
        <w:t>7.</w:t>
      </w:r>
      <w:r w:rsidR="00272343">
        <w:t>3</w:t>
      </w:r>
      <w:r>
        <w:t xml:space="preserve"> Implicações para o processo produtivo</w:t>
      </w:r>
      <w:bookmarkEnd w:id="84"/>
    </w:p>
    <w:p w:rsidR="00EC421C" w:rsidP="00EC421C" w:rsidRDefault="00EC421C" w14:paraId="44AABDAB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Monitorar o teor alcoólico como indicador de maturação: vinhos com teor abaixo de ~10% tendem a baixa/média qualidade; a faixa mais favorável situa-se entre 11% e 13%.</w:t>
      </w:r>
    </w:p>
    <w:p w:rsidR="00EC421C" w:rsidP="00EC421C" w:rsidRDefault="00EC421C" w14:paraId="653B1A44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Controlar rigorosamente a acidez volátil, mantendo-a baixa, com higienização de equipamentos e monitoramento microbiológico da fermentação.</w:t>
      </w:r>
    </w:p>
    <w:p w:rsidR="00EC421C" w:rsidP="00EC421C" w:rsidRDefault="00EC421C" w14:paraId="276B980B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Ajustar os sulfatos a uma faixa intermediária, em que o efeito positivo é maximizado, evitando falta e excesso.</w:t>
      </w:r>
    </w:p>
    <w:p w:rsidR="00EC421C" w:rsidP="00EC421C" w:rsidRDefault="00EC421C" w14:paraId="7E98BA4D" w14:textId="65B4A2B4">
      <w:pPr>
        <w:spacing w:after="120" w:line="264" w:lineRule="auto"/>
        <w:jc w:val="both"/>
      </w:pPr>
      <w:r>
        <w:t>Atentar à qualidade da água de processo: cloretos elevados prejudicam de forma consistente a classificação.</w:t>
      </w:r>
    </w:p>
    <w:p w:rsidR="00391E4F" w:rsidRDefault="00000000" w14:paraId="5FDF4000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47084360" wp14:editId="656DE5E3">
            <wp:extent cx="6197532" cy="2543125"/>
            <wp:effectExtent l="0" t="0" r="635" b="0"/>
            <wp:docPr id="1948359835" name="Imagem 19483598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56345" cy="25672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68A5F3F3" w14:textId="34834239">
      <w:pPr>
        <w:pStyle w:val="Legenda"/>
        <w:keepNext/>
        <w:jc w:val="center"/>
      </w:pPr>
      <w:bookmarkStart w:name="_Toc233107181" w:id="85"/>
      <w:bookmarkStart w:name="_Toc233107435" w:id="86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17</w:t>
      </w:r>
      <w:r>
        <w:fldChar w:fldCharType="end"/>
      </w:r>
      <w:r>
        <w:t xml:space="preserve"> -</w:t>
      </w:r>
      <w:r w:rsidRPr="00E45B88">
        <w:t xml:space="preserve"> Dependência SHAP do teor alcoólico e dos sulfatos (corte ≥ 6).</w:t>
      </w:r>
      <w:bookmarkEnd w:id="85"/>
      <w:bookmarkEnd w:id="86"/>
    </w:p>
    <w:p w:rsidR="00391E4F" w:rsidRDefault="00000000" w14:paraId="34798686" w14:textId="021DED88">
      <w:pPr>
        <w:pStyle w:val="Ttulo2"/>
      </w:pPr>
      <w:bookmarkStart w:name="_Toc233109788" w:id="87"/>
      <w:r>
        <w:t>7.</w:t>
      </w:r>
      <w:r w:rsidR="00272343">
        <w:t>4</w:t>
      </w:r>
      <w:r>
        <w:t xml:space="preserve"> Importância por permutação</w:t>
      </w:r>
      <w:bookmarkEnd w:id="87"/>
    </w:p>
    <w:p w:rsidR="00391E4F" w:rsidRDefault="00000000" w14:paraId="352A801F" w14:textId="77777777">
      <w:pPr>
        <w:spacing w:after="120" w:line="264" w:lineRule="auto"/>
        <w:jc w:val="both"/>
      </w:pPr>
      <w:r>
        <w:t xml:space="preserve">O terceiro método mede a queda no F1 ao embaralhar cada variável, destruindo sua relação com o alvo; independe do tipo de modelo. O </w:t>
      </w:r>
      <w:proofErr w:type="spellStart"/>
      <w:r>
        <w:t>ponto-chave</w:t>
      </w:r>
      <w:proofErr w:type="spellEnd"/>
      <w:r>
        <w:t xml:space="preserve"> é a convergência: os três métodos — importância da floresta, SHAP e permutação — apontam o mesmo trio (teor alcoólico, sulfatos e acidez volátil), tornando o resultado robusto. O gráfico foi revisado para exibir rótulos com sinal, sem colisão.</w:t>
      </w:r>
    </w:p>
    <w:p w:rsidR="00391E4F" w:rsidRDefault="00000000" w14:paraId="3A81FD01" w14:textId="77777777">
      <w:pPr>
        <w:keepNext/>
        <w:spacing w:before="100" w:after="40"/>
        <w:jc w:val="center"/>
      </w:pPr>
      <w:r>
        <w:rPr>
          <w:noProof/>
        </w:rPr>
        <w:drawing>
          <wp:inline distT="0" distB="0" distL="0" distR="0" wp14:anchorId="5930D8F0" wp14:editId="41FF5949">
            <wp:extent cx="5524500" cy="3181350"/>
            <wp:effectExtent l="0" t="0" r="0" b="0"/>
            <wp:docPr id="471626511" name="Imagem 4716265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24500" cy="3181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16CB7" w:rsidP="00C16CB7" w:rsidRDefault="00C16CB7" w14:paraId="41A35E3B" w14:textId="4F3971EC">
      <w:pPr>
        <w:pStyle w:val="Legenda"/>
        <w:keepNext/>
        <w:jc w:val="center"/>
      </w:pPr>
      <w:bookmarkStart w:name="_Toc233107182" w:id="88"/>
      <w:bookmarkStart w:name="_Toc233107436" w:id="89"/>
      <w:r>
        <w:t xml:space="preserve">Tabela </w:t>
      </w:r>
      <w:r>
        <w:fldChar w:fldCharType="begin"/>
      </w:r>
      <w:r>
        <w:instrText xml:space="preserve"> SEQ Tabela \* ARABIC </w:instrText>
      </w:r>
      <w:r>
        <w:fldChar w:fldCharType="separate"/>
      </w:r>
      <w:r w:rsidR="00272343">
        <w:rPr>
          <w:noProof/>
        </w:rPr>
        <w:t>18</w:t>
      </w:r>
      <w:r>
        <w:fldChar w:fldCharType="end"/>
      </w:r>
      <w:r>
        <w:t xml:space="preserve"> -</w:t>
      </w:r>
      <w:r w:rsidRPr="003B1C29">
        <w:t xml:space="preserve"> Importância por permutação (queda média de F1), gráfico revisado.</w:t>
      </w:r>
      <w:bookmarkEnd w:id="88"/>
      <w:bookmarkEnd w:id="89"/>
    </w:p>
    <w:p w:rsidR="00272343" w:rsidRDefault="00272343" w14:paraId="4D6608CB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="00391E4F" w:rsidRDefault="00000000" w14:paraId="459C36B1" w14:textId="00AECFC9">
      <w:pPr>
        <w:pStyle w:val="Ttulo1"/>
      </w:pPr>
      <w:bookmarkStart w:name="_Toc233109789" w:id="90"/>
      <w:r>
        <w:t>8. Riscos, Limitações e Governança</w:t>
      </w:r>
      <w:bookmarkEnd w:id="90"/>
    </w:p>
    <w:p w:rsidR="00391E4F" w:rsidRDefault="00000000" w14:paraId="14EB0171" w14:textId="77777777">
      <w:pPr>
        <w:spacing w:after="120" w:line="264" w:lineRule="auto"/>
        <w:jc w:val="both"/>
      </w:pPr>
      <w:r>
        <w:t>Em coerência com o princípio de antecipar o que pode dar errado, os principais riscos foram mapeados com suas mitigações.</w:t>
      </w:r>
    </w:p>
    <w:p w:rsidR="00391E4F" w:rsidRDefault="00000000" w14:paraId="16A2F71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proofErr w:type="spellStart"/>
      <w:r>
        <w:t>Superajuste</w:t>
      </w:r>
      <w:proofErr w:type="spellEnd"/>
      <w:r>
        <w:t xml:space="preserve"> da Random Forest — mitigado por </w:t>
      </w:r>
      <w:proofErr w:type="spellStart"/>
      <w:r>
        <w:t>GridSearchCV</w:t>
      </w:r>
      <w:proofErr w:type="spellEnd"/>
      <w:r>
        <w:t xml:space="preserve"> com validação cruzada, controlando profundidade e tamanho mínimo das folhas.</w:t>
      </w:r>
    </w:p>
    <w:p w:rsidR="00391E4F" w:rsidRDefault="00000000" w14:paraId="04ECDE55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Viés da avaliação sensorial — o alvo deriva de julgamentos humanos; mitigação plena exigiria medir a concordância entre degustadores.</w:t>
      </w:r>
    </w:p>
    <w:p w:rsidR="00391E4F" w:rsidRDefault="00000000" w14:paraId="0E1A1B3A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Degradação com novos lotes — base estática, sem marcação temporal; recomenda-se monitoramento periódico.</w:t>
      </w:r>
    </w:p>
    <w:p w:rsidR="00391E4F" w:rsidRDefault="00000000" w14:paraId="1A934A54" w14:textId="77777777">
      <w:pPr>
        <w:pStyle w:val="Ttulo2"/>
      </w:pPr>
      <w:bookmarkStart w:name="_Toc233109790" w:id="91"/>
      <w:r>
        <w:t>8.1 Limitações metodológicas</w:t>
      </w:r>
      <w:bookmarkEnd w:id="91"/>
    </w:p>
    <w:p w:rsidR="00391E4F" w:rsidRDefault="00000000" w14:paraId="1F972C38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Tamanho da base (~1.018): estimativas menos precisas (note os intervalos de confiança largos na Tabela 14) — revalidar com dados novos antes de implantar.</w:t>
      </w:r>
    </w:p>
    <w:p w:rsidR="00391E4F" w:rsidRDefault="00000000" w14:paraId="0588209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Correlação não é causalidade: as interpretações de mecanismo são hipóteses, a confirmar com enólogos.</w:t>
      </w:r>
    </w:p>
    <w:p w:rsidR="00391E4F" w:rsidRDefault="00000000" w14:paraId="5255DAFA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Ausência de marcação temporal: impede avaliar a degradação ao longo do tempo.</w:t>
      </w:r>
    </w:p>
    <w:p w:rsidR="00391E4F" w:rsidRDefault="00000000" w14:paraId="42BE782B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Escopo restrito a vinhos tintos: não aplicar a brancos/espumantes sem novo treinamento.</w:t>
      </w:r>
    </w:p>
    <w:p w:rsidR="00391E4F" w:rsidRDefault="00000000" w14:paraId="2014F12D" w14:textId="77777777">
      <w:pPr>
        <w:pStyle w:val="Ttulo2"/>
      </w:pPr>
      <w:bookmarkStart w:name="_Toc233109791" w:id="92"/>
      <w:r>
        <w:t>8.2 Reprodutibilidade</w:t>
      </w:r>
      <w:bookmarkEnd w:id="92"/>
    </w:p>
    <w:p w:rsidR="007C5C81" w:rsidP="00CC0BA3" w:rsidRDefault="00000000" w14:paraId="00C48AE4" w14:textId="1026E145">
      <w:pPr>
        <w:spacing w:after="120" w:line="264" w:lineRule="auto"/>
        <w:jc w:val="both"/>
        <w:rPr>
          <w:b/>
          <w:bCs/>
          <w:color w:val="2F5496"/>
          <w:sz w:val="30"/>
          <w:szCs w:val="30"/>
        </w:rPr>
      </w:pPr>
      <w:r>
        <w:t>Todo o trabalho é reproduzível. A mesma semente aleatória (</w:t>
      </w:r>
      <w:r>
        <w:rPr>
          <w:b/>
          <w:bCs/>
        </w:rPr>
        <w:t>SEED = 43</w:t>
      </w:r>
      <w:r>
        <w:t>, número primo adotado por decisão de grupo) é usada na divisão dos dados, na inicialização dos modelos e na validação cruzada. As dependências estão registradas e o notebook que acompanha o projeto foi executado de ponta a ponta, sem erros, antes da entrega.</w:t>
      </w:r>
    </w:p>
    <w:p w:rsidR="00EC421C" w:rsidRDefault="00EC421C" w14:paraId="622F17FE" w14:textId="77777777">
      <w:pPr>
        <w:rPr>
          <w:b/>
          <w:bCs/>
          <w:color w:val="2F5496"/>
          <w:sz w:val="30"/>
          <w:szCs w:val="30"/>
        </w:rPr>
      </w:pPr>
      <w:r>
        <w:br w:type="page"/>
      </w:r>
    </w:p>
    <w:p w:rsidR="00391E4F" w:rsidRDefault="00000000" w14:paraId="4988F483" w14:textId="33190705">
      <w:pPr>
        <w:pStyle w:val="Ttulo1"/>
      </w:pPr>
      <w:bookmarkStart w:name="_Toc233109792" w:id="93"/>
      <w:r>
        <w:t>9. Conclusões e Recomendações</w:t>
      </w:r>
      <w:bookmarkEnd w:id="93"/>
    </w:p>
    <w:p w:rsidR="00391E4F" w:rsidRDefault="00000000" w14:paraId="26193203" w14:textId="77777777">
      <w:pPr>
        <w:spacing w:after="120" w:line="264" w:lineRule="auto"/>
        <w:jc w:val="both"/>
      </w:pPr>
      <w:r>
        <w:t>O projeto demonstrou ser viável classificar a qualidade de vinhos tintos, com F1-Score de 0,76 a 0,79 no teste (0,75 a 0,77 em validação cruzada), utilizando apenas variáveis físico-químicas mensuráveis na linha de produção. Os principais aprendizados:</w:t>
      </w:r>
    </w:p>
    <w:p w:rsidR="00391E4F" w:rsidRDefault="00000000" w14:paraId="2FA0709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 escolha do ponto de corte é uma decisão de pré-processamento determinante: o corte ≥ 7 gera desbalanceamento severo que limita o desempenho mesmo com correção de peso, enquanto o corte ≥ 6 reduz substancialmente o desbalanceamento na origem e é a estratégia recomendada.</w:t>
      </w:r>
    </w:p>
    <w:p w:rsidR="00391E4F" w:rsidRDefault="00000000" w14:paraId="390B0520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No cenário equilibrado os sete algoritmos convergem para um patamar semelhante; os testes estatísticos (Seção 6.4) mostram que as diferenças no topo não são significativas. A Random Forest destaca-se por ser a mais robusta e estável em validação cruzada.</w:t>
      </w:r>
    </w:p>
    <w:p w:rsidR="00391E4F" w:rsidRDefault="00000000" w14:paraId="76D07B08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Três variáveis dominam — teor alcoólico (+), sulfatos (+) e acidez volátil (−) — confirmadas por três métodos independentes, com mecanismos produtivos claros e monitoráveis.</w:t>
      </w:r>
    </w:p>
    <w:p w:rsidR="00391E4F" w:rsidRDefault="00000000" w14:paraId="370CDD04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>As variáveis engenheiradas (razão SO₂ livre/total e interações) foram criadas, testadas e descartadas por não agregarem valor preditivo — resultado legítimo e documentado.</w:t>
      </w:r>
    </w:p>
    <w:p w:rsidR="00391E4F" w:rsidRDefault="00000000" w14:paraId="0387A6B8" w14:textId="77777777">
      <w:pPr>
        <w:pStyle w:val="PargrafodaLista"/>
        <w:numPr>
          <w:ilvl w:val="0"/>
          <w:numId w:val="2"/>
        </w:numPr>
        <w:spacing w:after="80" w:line="264" w:lineRule="auto"/>
        <w:jc w:val="both"/>
      </w:pPr>
      <w:r>
        <w:t xml:space="preserve">A otimização de </w:t>
      </w:r>
      <w:proofErr w:type="spellStart"/>
      <w:r>
        <w:t>hiperparâmetros</w:t>
      </w:r>
      <w:proofErr w:type="spellEnd"/>
      <w:r>
        <w:t xml:space="preserve"> trouxe ganho modesto, sinalizando que o gargalo está na sobreposição natural entre as classes, não na configuração dos modelos.</w:t>
      </w:r>
    </w:p>
    <w:p w:rsidR="00391E4F" w:rsidRDefault="00000000" w14:paraId="0613802B" w14:textId="77777777">
      <w:pPr>
        <w:pStyle w:val="Ttulo1"/>
      </w:pPr>
      <w:bookmarkStart w:name="_Toc233109793" w:id="94"/>
      <w:r>
        <w:t>10. Recomendação de implantação</w:t>
      </w:r>
      <w:bookmarkEnd w:id="94"/>
    </w:p>
    <w:p w:rsidR="00391E4F" w:rsidRDefault="00000000" w14:paraId="3528A240" w14:textId="77777777">
      <w:pPr>
        <w:spacing w:after="120" w:line="264" w:lineRule="auto"/>
        <w:jc w:val="both"/>
      </w:pPr>
      <w:r>
        <w:t xml:space="preserve">Como os melhores modelos são estatisticamente equivalentes, a escolha é feita por critérios operacionais. Recomenda-se adotar a </w:t>
      </w:r>
      <w:r>
        <w:rPr>
          <w:b/>
          <w:bCs/>
        </w:rPr>
        <w:t>Random Forest otimizada</w:t>
      </w:r>
      <w:r>
        <w:t xml:space="preserve"> (</w:t>
      </w:r>
      <w:proofErr w:type="spellStart"/>
      <w:r>
        <w:t>n_estimators</w:t>
      </w:r>
      <w:proofErr w:type="spellEnd"/>
      <w:r>
        <w:t xml:space="preserve"> = 400, </w:t>
      </w:r>
      <w:proofErr w:type="spellStart"/>
      <w:r>
        <w:t>max_depth</w:t>
      </w:r>
      <w:proofErr w:type="spellEnd"/>
      <w:r>
        <w:t xml:space="preserve"> = </w:t>
      </w:r>
      <w:proofErr w:type="spellStart"/>
      <w:r>
        <w:t>null</w:t>
      </w:r>
      <w:proofErr w:type="spellEnd"/>
      <w:r>
        <w:t xml:space="preserve">, </w:t>
      </w:r>
      <w:proofErr w:type="spellStart"/>
      <w:r>
        <w:t>min_samples_leaf</w:t>
      </w:r>
      <w:proofErr w:type="spellEnd"/>
      <w:r>
        <w:t xml:space="preserve"> = 2) como modelo de produção — melhor e mais estável desempenho em validação cruzada, robusta aos outliers mantidos e interpretável (Seção 7). Manter a Regressão Logística como modelo-companheiro transparente (coeficientes auditáveis, maior </w:t>
      </w:r>
      <w:proofErr w:type="spellStart"/>
      <w:r>
        <w:t>average</w:t>
      </w:r>
      <w:proofErr w:type="spellEnd"/>
      <w:r>
        <w:t xml:space="preserve"> </w:t>
      </w:r>
      <w:proofErr w:type="spellStart"/>
      <w:r>
        <w:t>precision</w:t>
      </w:r>
      <w:proofErr w:type="spellEnd"/>
      <w:r>
        <w:t xml:space="preserve">), útil quando a decisão precisa ser explicada de forma linear. O </w:t>
      </w:r>
      <w:proofErr w:type="spellStart"/>
      <w:r>
        <w:t>Gradient</w:t>
      </w:r>
      <w:proofErr w:type="spellEnd"/>
      <w:r>
        <w:t xml:space="preserve"> </w:t>
      </w:r>
      <w:proofErr w:type="spellStart"/>
      <w:r>
        <w:t>Boosting</w:t>
      </w:r>
      <w:proofErr w:type="spellEnd"/>
      <w:r>
        <w:t xml:space="preserve"> lidera o F1 numa única partição, mas a vantagem não é estatisticamente significativa. Recomenda-se monitorar o F1 periodicamente sobre novos lotes.</w:t>
      </w:r>
    </w:p>
    <w:p w:rsidR="00391E4F" w:rsidRDefault="00000000" w14:paraId="72E546AA" w14:textId="77777777">
      <w:pPr>
        <w:spacing w:after="120" w:line="264" w:lineRule="auto"/>
        <w:jc w:val="both"/>
      </w:pPr>
      <w:r>
        <w:t xml:space="preserve">Traduzindo em valor de negócio: ao operar como uma triagem automatizada e padronizada, o modelo recomendado reduz a dependência da degustação manual — mais lenta e custosa — e acelera a separação dos lotes. O equilíbrio entre os dois erros tem efeito financeiro direto: cada falso negativo é um lote de alta qualidade </w:t>
      </w:r>
      <w:proofErr w:type="spellStart"/>
      <w:r>
        <w:t>subprecificado</w:t>
      </w:r>
      <w:proofErr w:type="spellEnd"/>
      <w:r>
        <w:t xml:space="preserve"> (receita não capturada) e cada falso positivo é um prêmio frustrado (risco de devolução e de imagem). A escolha da Random Forest apoia-se em sua estabilidade e no equilíbrio entre os dois erros, oferecendo desempenho previsível em produção; e o limiar de decisão pode ser calibrado conforme a prioridade da vinícola — favorecer o recall, para não perder lotes bons, ou a precisão, para proteger o prêmio —, protegendo a margem apontada na Seção 1.1. Recomenda-se acompanhar, além do F1, indicadores de negócio — acerto na faixa premium e receita incremental dos lotes reclassificados — para confirmar, em produção, o retorno esperado.</w:t>
      </w:r>
    </w:p>
    <w:p w:rsidR="00391E4F" w:rsidRDefault="00000000" w14:paraId="60D4EAA8" w14:textId="77777777">
      <w:pPr>
        <w:pStyle w:val="Ttulo1"/>
      </w:pPr>
      <w:bookmarkStart w:name="_Toc233109794" w:id="95"/>
      <w:r>
        <w:t>11. Referências</w:t>
      </w:r>
      <w:bookmarkEnd w:id="95"/>
    </w:p>
    <w:p w:rsidR="00391E4F" w:rsidRDefault="00000000" w14:paraId="633B1575" w14:textId="77777777">
      <w:pPr>
        <w:spacing w:after="120" w:line="264" w:lineRule="auto"/>
        <w:jc w:val="both"/>
      </w:pPr>
      <w:r>
        <w:t xml:space="preserve">CORTEZ, P.; CERDEIRA, A.; ALMEIDA, F.; MATOS, T.; REIS, J. </w:t>
      </w:r>
      <w:proofErr w:type="spellStart"/>
      <w:r>
        <w:t>Modeling</w:t>
      </w:r>
      <w:proofErr w:type="spellEnd"/>
      <w:r>
        <w:t xml:space="preserve">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preferences</w:t>
      </w:r>
      <w:proofErr w:type="spellEnd"/>
      <w:r>
        <w:t xml:space="preserve"> </w:t>
      </w:r>
      <w:proofErr w:type="spellStart"/>
      <w:r>
        <w:t>by</w:t>
      </w:r>
      <w:proofErr w:type="spellEnd"/>
      <w:r>
        <w:t xml:space="preserve"> data mining </w:t>
      </w:r>
      <w:proofErr w:type="spellStart"/>
      <w:r>
        <w:t>from</w:t>
      </w:r>
      <w:proofErr w:type="spellEnd"/>
      <w:r>
        <w:t xml:space="preserve"> </w:t>
      </w:r>
      <w:proofErr w:type="spellStart"/>
      <w:r>
        <w:t>physicochemical</w:t>
      </w:r>
      <w:proofErr w:type="spellEnd"/>
      <w:r>
        <w:t xml:space="preserve"> </w:t>
      </w:r>
      <w:proofErr w:type="spellStart"/>
      <w:r>
        <w:t>properties</w:t>
      </w:r>
      <w:proofErr w:type="spellEnd"/>
      <w:r>
        <w:t xml:space="preserve">. </w:t>
      </w:r>
      <w:r>
        <w:rPr>
          <w:i/>
          <w:iCs/>
        </w:rPr>
        <w:t xml:space="preserve">Decision </w:t>
      </w:r>
      <w:proofErr w:type="spellStart"/>
      <w:r>
        <w:rPr>
          <w:i/>
          <w:iCs/>
        </w:rPr>
        <w:t>Support</w:t>
      </w:r>
      <w:proofErr w:type="spellEnd"/>
      <w:r>
        <w:rPr>
          <w:i/>
          <w:iCs/>
        </w:rPr>
        <w:t xml:space="preserve"> Systems</w:t>
      </w:r>
      <w:r>
        <w:t>, v. 47, n. 4, p. 547-553, 2009. DOI: 10.1016/j.dss.2009.05.016.</w:t>
      </w:r>
    </w:p>
    <w:p w:rsidR="00391E4F" w:rsidRDefault="00000000" w14:paraId="6CB30EF4" w14:textId="77777777">
      <w:pPr>
        <w:spacing w:after="120" w:line="264" w:lineRule="auto"/>
        <w:jc w:val="both"/>
      </w:pPr>
      <w:r>
        <w:t xml:space="preserve">KAGGLE. </w:t>
      </w:r>
      <w:proofErr w:type="spellStart"/>
      <w:r>
        <w:t>Wine</w:t>
      </w:r>
      <w:proofErr w:type="spellEnd"/>
      <w:r>
        <w:t xml:space="preserve"> </w:t>
      </w:r>
      <w:proofErr w:type="spellStart"/>
      <w:r>
        <w:t>Quality</w:t>
      </w:r>
      <w:proofErr w:type="spellEnd"/>
      <w:r>
        <w:t xml:space="preserve"> </w:t>
      </w:r>
      <w:proofErr w:type="spellStart"/>
      <w:r>
        <w:t>Dataset</w:t>
      </w:r>
      <w:proofErr w:type="spellEnd"/>
      <w:r>
        <w:t xml:space="preserve"> (</w:t>
      </w:r>
      <w:proofErr w:type="spellStart"/>
      <w:r>
        <w:t>WineQT</w:t>
      </w:r>
      <w:proofErr w:type="spellEnd"/>
      <w:r>
        <w:t>). Disponível em: https://www.kaggle.com/datasets/yasserh/wine-quality-dataset. Acesso em: 19 jun. 2026.</w:t>
      </w:r>
    </w:p>
    <w:p w:rsidR="00391E4F" w:rsidRDefault="00000000" w14:paraId="2C51A499" w14:textId="77777777">
      <w:pPr>
        <w:spacing w:after="120" w:line="264" w:lineRule="auto"/>
        <w:jc w:val="both"/>
      </w:pPr>
      <w:r>
        <w:t xml:space="preserve">PEDREGOSA, F. et al. </w:t>
      </w:r>
      <w:proofErr w:type="spellStart"/>
      <w:r>
        <w:t>Scikit-learn</w:t>
      </w:r>
      <w:proofErr w:type="spellEnd"/>
      <w:r>
        <w:t xml:space="preserve">: Machine Learning in Python. </w:t>
      </w:r>
      <w:proofErr w:type="spellStart"/>
      <w:r>
        <w:rPr>
          <w:i/>
          <w:iCs/>
        </w:rPr>
        <w:t>Journal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Machine Learning </w:t>
      </w:r>
      <w:proofErr w:type="spellStart"/>
      <w:r>
        <w:rPr>
          <w:i/>
          <w:iCs/>
        </w:rPr>
        <w:t>Research</w:t>
      </w:r>
      <w:proofErr w:type="spellEnd"/>
      <w:r>
        <w:t>, v. 12, p. 2825-2830, 2011.</w:t>
      </w:r>
    </w:p>
    <w:p w:rsidR="00391E4F" w:rsidRDefault="00000000" w14:paraId="53244218" w14:textId="77777777">
      <w:pPr>
        <w:spacing w:after="120" w:line="264" w:lineRule="auto"/>
        <w:jc w:val="both"/>
      </w:pPr>
      <w:r>
        <w:t xml:space="preserve">LUNDBERG, S. M.; LEE, S.-I. A </w:t>
      </w:r>
      <w:proofErr w:type="spellStart"/>
      <w:r>
        <w:t>Unified</w:t>
      </w:r>
      <w:proofErr w:type="spellEnd"/>
      <w:r>
        <w:t xml:space="preserve"> Approach </w:t>
      </w:r>
      <w:proofErr w:type="spellStart"/>
      <w:r>
        <w:t>to</w:t>
      </w:r>
      <w:proofErr w:type="spellEnd"/>
      <w:r>
        <w:t xml:space="preserve"> </w:t>
      </w:r>
      <w:proofErr w:type="spellStart"/>
      <w:r>
        <w:t>Interpreting</w:t>
      </w:r>
      <w:proofErr w:type="spellEnd"/>
      <w:r>
        <w:t xml:space="preserve"> Model </w:t>
      </w:r>
      <w:proofErr w:type="spellStart"/>
      <w:r>
        <w:t>Predictions</w:t>
      </w:r>
      <w:proofErr w:type="spellEnd"/>
      <w:r>
        <w:t xml:space="preserve">. In: </w:t>
      </w:r>
      <w:proofErr w:type="spellStart"/>
      <w:r>
        <w:rPr>
          <w:i/>
          <w:iCs/>
        </w:rPr>
        <w:t>Advances</w:t>
      </w:r>
      <w:proofErr w:type="spellEnd"/>
      <w:r>
        <w:rPr>
          <w:i/>
          <w:iCs/>
        </w:rPr>
        <w:t xml:space="preserve"> in Neural </w:t>
      </w:r>
      <w:proofErr w:type="spellStart"/>
      <w:r>
        <w:rPr>
          <w:i/>
          <w:iCs/>
        </w:rPr>
        <w:t>Information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Processing</w:t>
      </w:r>
      <w:proofErr w:type="spellEnd"/>
      <w:r>
        <w:rPr>
          <w:i/>
          <w:iCs/>
        </w:rPr>
        <w:t xml:space="preserve"> Systems (</w:t>
      </w:r>
      <w:proofErr w:type="spellStart"/>
      <w:r>
        <w:rPr>
          <w:i/>
          <w:iCs/>
        </w:rPr>
        <w:t>NeurIPS</w:t>
      </w:r>
      <w:proofErr w:type="spellEnd"/>
      <w:r>
        <w:rPr>
          <w:i/>
          <w:iCs/>
        </w:rPr>
        <w:t xml:space="preserve"> 30)</w:t>
      </w:r>
      <w:r>
        <w:t>, 2017. Disponível em: https://arxiv.org/abs/1705.07874.</w:t>
      </w:r>
    </w:p>
    <w:p w:rsidR="00391E4F" w:rsidRDefault="00000000" w14:paraId="31087B9F" w14:textId="77777777">
      <w:pPr>
        <w:spacing w:after="120" w:line="264" w:lineRule="auto"/>
        <w:jc w:val="both"/>
      </w:pPr>
      <w:r>
        <w:t xml:space="preserve">BREIMAN, L. Random </w:t>
      </w:r>
      <w:proofErr w:type="spellStart"/>
      <w:r>
        <w:t>Forests</w:t>
      </w:r>
      <w:proofErr w:type="spellEnd"/>
      <w:r>
        <w:t xml:space="preserve">. </w:t>
      </w:r>
      <w:r>
        <w:rPr>
          <w:i/>
          <w:iCs/>
        </w:rPr>
        <w:t>Machine Learning</w:t>
      </w:r>
      <w:r>
        <w:t>, v. 45, n. 1, p. 5-32, 2001. DOI: 10.1023/A:1010933404324.</w:t>
      </w:r>
    </w:p>
    <w:p w:rsidR="00391E4F" w:rsidRDefault="00000000" w14:paraId="2D7B41A1" w14:textId="77777777">
      <w:pPr>
        <w:spacing w:after="120" w:line="264" w:lineRule="auto"/>
        <w:jc w:val="both"/>
      </w:pPr>
      <w:proofErr w:type="spellStart"/>
      <w:r>
        <w:t>McKINNEY</w:t>
      </w:r>
      <w:proofErr w:type="spellEnd"/>
      <w:r>
        <w:t xml:space="preserve">, W. Data </w:t>
      </w:r>
      <w:proofErr w:type="spellStart"/>
      <w:r>
        <w:t>Structures</w:t>
      </w:r>
      <w:proofErr w:type="spellEnd"/>
      <w:r>
        <w:t xml:space="preserve"> for </w:t>
      </w:r>
      <w:proofErr w:type="spellStart"/>
      <w:r>
        <w:t>Statistical</w:t>
      </w:r>
      <w:proofErr w:type="spellEnd"/>
      <w:r>
        <w:t xml:space="preserve"> </w:t>
      </w:r>
      <w:proofErr w:type="spellStart"/>
      <w:r>
        <w:t>Computing</w:t>
      </w:r>
      <w:proofErr w:type="spellEnd"/>
      <w:r>
        <w:t xml:space="preserve"> in Python. In: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of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the</w:t>
      </w:r>
      <w:proofErr w:type="spellEnd"/>
      <w:r>
        <w:rPr>
          <w:i/>
          <w:iCs/>
        </w:rPr>
        <w:t xml:space="preserve"> 9th Python in Science </w:t>
      </w:r>
      <w:proofErr w:type="spellStart"/>
      <w:r>
        <w:rPr>
          <w:i/>
          <w:iCs/>
        </w:rPr>
        <w:t>Conference</w:t>
      </w:r>
      <w:proofErr w:type="spellEnd"/>
      <w:r>
        <w:rPr>
          <w:i/>
          <w:iCs/>
        </w:rPr>
        <w:t xml:space="preserve"> (</w:t>
      </w:r>
      <w:proofErr w:type="spellStart"/>
      <w:r>
        <w:rPr>
          <w:i/>
          <w:iCs/>
        </w:rPr>
        <w:t>SciPy</w:t>
      </w:r>
      <w:proofErr w:type="spellEnd"/>
      <w:r>
        <w:rPr>
          <w:i/>
          <w:iCs/>
        </w:rPr>
        <w:t xml:space="preserve"> 2010)</w:t>
      </w:r>
      <w:r>
        <w:t>, p. 56-61, 2010. DOI: 10.25080/Majora-92bf1922-00a.</w:t>
      </w:r>
    </w:p>
    <w:p w:rsidP="6C8E1768" w:rsidRDefault="00000000" w14:paraId="7B5C5091" w14:textId="6008C2F8">
      <w:pPr>
        <w:spacing w:after="120" w:line="264" w:lineRule="auto"/>
        <w:jc w:val="both"/>
      </w:pPr>
      <w:r>
        <w:rPr/>
        <w:t xml:space="preserve">HARRIS, C. R. et al. </w:t>
      </w:r>
      <w:r>
        <w:rPr/>
        <w:t>Array</w:t>
      </w:r>
      <w:r>
        <w:rPr/>
        <w:t xml:space="preserve"> </w:t>
      </w:r>
      <w:r>
        <w:rPr/>
        <w:t>programming</w:t>
      </w:r>
      <w:r>
        <w:rPr/>
        <w:t xml:space="preserve"> </w:t>
      </w:r>
      <w:r>
        <w:rPr/>
        <w:t>with</w:t>
      </w:r>
      <w:r>
        <w:rPr/>
        <w:t xml:space="preserve"> </w:t>
      </w:r>
      <w:r>
        <w:rPr/>
        <w:t>NumPy</w:t>
      </w:r>
      <w:r>
        <w:rPr/>
        <w:t xml:space="preserve">. </w:t>
      </w:r>
      <w:r w:rsidRPr="6C8E1768">
        <w:rPr>
          <w:i w:val="1"/>
          <w:iCs w:val="1"/>
        </w:rPr>
        <w:t>Nature</w:t>
      </w:r>
      <w:r>
        <w:rPr/>
        <w:t>, v. 585, p. 357-362, 2020. DOI: 10.1038/s41586-020-2649-2.</w:t>
      </w:r>
    </w:p>
    <w:p w:rsidR="021F09C7" w:rsidP="6C8E1768" w:rsidRDefault="021F09C7" w14:paraId="6BC1B6BA" w14:textId="79C23CAC">
      <w:pPr>
        <w:shd w:val="clear" w:color="auto" w:fill="FFFFFF" w:themeFill="background1"/>
        <w:spacing w:before="0" w:beforeAutospacing="off" w:after="0" w:afterAutospacing="off" w:line="270" w:lineRule="auto"/>
        <w:jc w:val="both"/>
      </w:pP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 xml:space="preserve">Vídeo do </w:t>
      </w: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>Youtube</w:t>
      </w: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>:</w:t>
      </w:r>
      <w:r w:rsidRPr="6C8E1768" w:rsidR="021F09C7">
        <w:rPr>
          <w:rFonts w:ascii="Menlo" w:hAnsi="Menlo" w:eastAsia="Menlo" w:cs="Menlo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hyperlink r:id="R906fd8fa97904408">
        <w:r w:rsidRPr="6C8E1768" w:rsidR="021F09C7">
          <w:rPr>
            <w:rStyle w:val="Hyperlink"/>
            <w:rFonts w:ascii="Menlo" w:hAnsi="Menlo" w:eastAsia="Menlo" w:cs="Menlo"/>
            <w:noProof w:val="0"/>
            <w:sz w:val="20"/>
            <w:szCs w:val="20"/>
            <w:lang w:val="pt-BR"/>
          </w:rPr>
          <w:t>https://youtu.be/24j8LucBWxU?si=hbToJGP8F1KqrZIN</w:t>
        </w:r>
      </w:hyperlink>
    </w:p>
    <w:p w:rsidR="6C8E1768" w:rsidP="6C8E1768" w:rsidRDefault="6C8E1768" w14:paraId="5744AAAE" w14:textId="3863B67B">
      <w:pPr>
        <w:shd w:val="clear" w:color="auto" w:fill="FFFFFF" w:themeFill="background1"/>
        <w:spacing w:before="0" w:beforeAutospacing="off" w:after="0" w:afterAutospacing="off" w:line="270" w:lineRule="auto"/>
        <w:jc w:val="both"/>
      </w:pPr>
    </w:p>
    <w:p w:rsidR="021F09C7" w:rsidP="6C8E1768" w:rsidRDefault="021F09C7" w14:paraId="459D8A93" w14:textId="53701435">
      <w:pPr>
        <w:shd w:val="clear" w:color="auto" w:fill="FFFFFF" w:themeFill="background1"/>
        <w:spacing w:before="0" w:beforeAutospacing="off" w:after="0" w:afterAutospacing="off" w:line="270" w:lineRule="auto"/>
        <w:jc w:val="both"/>
      </w:pP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 xml:space="preserve">Repositório </w:t>
      </w: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>GITHUB</w:t>
      </w:r>
      <w:r w:rsidRPr="6C8E1768" w:rsidR="021F09C7">
        <w:rPr>
          <w:rFonts w:ascii="Arial" w:hAnsi="Arial" w:eastAsia="Arial" w:cs="Arial"/>
          <w:noProof w:val="0"/>
          <w:color w:val="auto"/>
          <w:sz w:val="20"/>
          <w:szCs w:val="20"/>
          <w:lang w:val="pt-BR" w:eastAsia="pt-BR" w:bidi="ar-SA"/>
        </w:rPr>
        <w:t>:</w:t>
      </w:r>
      <w:r w:rsidRPr="6C8E1768" w:rsidR="021F09C7">
        <w:rPr>
          <w:rFonts w:ascii="Menlo" w:hAnsi="Menlo" w:eastAsia="Menlo" w:cs="Menlo"/>
          <w:noProof w:val="0"/>
          <w:color w:val="000000" w:themeColor="text1" w:themeTint="FF" w:themeShade="FF"/>
          <w:sz w:val="20"/>
          <w:szCs w:val="20"/>
          <w:lang w:val="pt-BR"/>
        </w:rPr>
        <w:t xml:space="preserve"> </w:t>
      </w:r>
      <w:hyperlink r:id="R4ba2ba4781d44bf5">
        <w:r w:rsidRPr="6C8E1768" w:rsidR="021F09C7">
          <w:rPr>
            <w:rStyle w:val="Hyperlink"/>
            <w:rFonts w:ascii="Menlo" w:hAnsi="Menlo" w:eastAsia="Menlo" w:cs="Menlo"/>
            <w:noProof w:val="0"/>
            <w:sz w:val="20"/>
            <w:szCs w:val="20"/>
            <w:lang w:val="pt-BR"/>
          </w:rPr>
          <w:t>https://github.com/lgmricardo/Techchallenge2-G12</w:t>
        </w:r>
      </w:hyperlink>
    </w:p>
    <w:p w:rsidR="6C8E1768" w:rsidP="6C8E1768" w:rsidRDefault="6C8E1768" w14:paraId="1DA4B06A" w14:textId="75EB9C96">
      <w:pPr>
        <w:spacing w:after="120" w:line="264" w:lineRule="auto"/>
        <w:jc w:val="both"/>
      </w:pPr>
    </w:p>
    <w:sectPr w:rsidR="00391E4F">
      <w:headerReference w:type="default" r:id="rId26"/>
      <w:footerReference w:type="default" r:id="rId27"/>
      <w:headerReference w:type="first" r:id="rId28"/>
      <w:footerReference w:type="first" r:id="rId29"/>
      <w:pgSz w:w="12240" w:h="15840" w:orient="portrait"/>
      <w:pgMar w:top="1440" w:right="1440" w:bottom="1440" w:left="1440" w:header="680" w:footer="60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0D6CAF" w:rsidRDefault="000D6CAF" w14:paraId="179997B2" w14:textId="77777777">
      <w:r>
        <w:separator/>
      </w:r>
    </w:p>
  </w:endnote>
  <w:endnote w:type="continuationSeparator" w:id="0">
    <w:p w:rsidR="000D6CAF" w:rsidRDefault="000D6CAF" w14:paraId="6522EC37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E4F" w:rsidRDefault="00000000" w14:paraId="514D78A5" w14:textId="77777777">
    <w:pPr>
      <w:spacing w:before="60"/>
      <w:jc w:val="center"/>
    </w:pPr>
    <w:r>
      <w:rPr>
        <w:color w:val="808080"/>
        <w:sz w:val="16"/>
        <w:szCs w:val="16"/>
      </w:rPr>
      <w:t xml:space="preserve">Página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PAGE</w:instrText>
    </w:r>
    <w:r>
      <w:rPr>
        <w:color w:val="808080"/>
        <w:sz w:val="16"/>
        <w:szCs w:val="16"/>
      </w:rPr>
      <w:fldChar w:fldCharType="separate"/>
    </w:r>
    <w:r w:rsidR="00A43735">
      <w:rPr>
        <w:noProof/>
        <w:color w:val="808080"/>
        <w:sz w:val="16"/>
        <w:szCs w:val="16"/>
      </w:rPr>
      <w:t>2</w:t>
    </w:r>
    <w:r>
      <w:rPr>
        <w:color w:val="808080"/>
        <w:sz w:val="16"/>
        <w:szCs w:val="16"/>
      </w:rPr>
      <w:fldChar w:fldCharType="end"/>
    </w:r>
    <w:r>
      <w:rPr>
        <w:color w:val="808080"/>
        <w:sz w:val="16"/>
        <w:szCs w:val="16"/>
      </w:rPr>
      <w:t xml:space="preserve"> de </w:t>
    </w:r>
    <w:r>
      <w:rPr>
        <w:color w:val="808080"/>
        <w:sz w:val="16"/>
        <w:szCs w:val="16"/>
      </w:rPr>
      <w:fldChar w:fldCharType="begin"/>
    </w:r>
    <w:r>
      <w:rPr>
        <w:color w:val="808080"/>
        <w:sz w:val="16"/>
        <w:szCs w:val="16"/>
      </w:rPr>
      <w:instrText>NUMPAGES</w:instrText>
    </w:r>
    <w:r>
      <w:rPr>
        <w:color w:val="808080"/>
        <w:sz w:val="16"/>
        <w:szCs w:val="16"/>
      </w:rPr>
      <w:fldChar w:fldCharType="separate"/>
    </w:r>
    <w:r w:rsidR="00A43735">
      <w:rPr>
        <w:noProof/>
        <w:color w:val="808080"/>
        <w:sz w:val="16"/>
        <w:szCs w:val="16"/>
      </w:rPr>
      <w:t>1</w:t>
    </w:r>
    <w:r>
      <w:rPr>
        <w:color w:val="808080"/>
        <w:sz w:val="16"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E4F" w:rsidRDefault="00391E4F" w14:paraId="25007A1F" w14:textId="77777777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0D6CAF" w:rsidRDefault="000D6CAF" w14:paraId="5119B686" w14:textId="77777777">
      <w:r>
        <w:separator/>
      </w:r>
    </w:p>
  </w:footnote>
  <w:footnote w:type="continuationSeparator" w:id="0">
    <w:p w:rsidR="000D6CAF" w:rsidRDefault="000D6CAF" w14:paraId="4D29CE47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E4F" w:rsidRDefault="00000000" w14:paraId="5858560A" w14:textId="77777777">
    <w:pPr>
      <w:pBdr>
        <w:bottom w:val="single" w:color="2F5496" w:sz="6" w:space="4"/>
      </w:pBdr>
      <w:jc w:val="center"/>
    </w:pPr>
    <w:r>
      <w:rPr>
        <w:color w:val="808080"/>
        <w:sz w:val="15"/>
        <w:szCs w:val="15"/>
      </w:rPr>
      <w:t xml:space="preserve">POSTECH </w:t>
    </w:r>
    <w:proofErr w:type="gramStart"/>
    <w:r>
      <w:rPr>
        <w:color w:val="808080"/>
        <w:sz w:val="15"/>
        <w:szCs w:val="15"/>
      </w:rPr>
      <w:t>DTAT  |</w:t>
    </w:r>
    <w:proofErr w:type="gramEnd"/>
    <w:r>
      <w:rPr>
        <w:color w:val="808080"/>
        <w:sz w:val="15"/>
        <w:szCs w:val="15"/>
      </w:rPr>
      <w:t xml:space="preserve">  Tech </w:t>
    </w:r>
    <w:proofErr w:type="spellStart"/>
    <w:r>
      <w:rPr>
        <w:color w:val="808080"/>
        <w:sz w:val="15"/>
        <w:szCs w:val="15"/>
      </w:rPr>
      <w:t>Challenge</w:t>
    </w:r>
    <w:proofErr w:type="spellEnd"/>
    <w:r>
      <w:rPr>
        <w:color w:val="808080"/>
        <w:sz w:val="15"/>
        <w:szCs w:val="15"/>
      </w:rPr>
      <w:t xml:space="preserve"> — Fase </w:t>
    </w:r>
    <w:proofErr w:type="gramStart"/>
    <w:r>
      <w:rPr>
        <w:color w:val="808080"/>
        <w:sz w:val="15"/>
        <w:szCs w:val="15"/>
      </w:rPr>
      <w:t>2  |</w:t>
    </w:r>
    <w:proofErr w:type="gramEnd"/>
    <w:r>
      <w:rPr>
        <w:color w:val="808080"/>
        <w:sz w:val="15"/>
        <w:szCs w:val="15"/>
      </w:rPr>
      <w:t xml:space="preserve">  Classificação de Qualidade de Vinhos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91E4F" w:rsidRDefault="00391E4F" w14:paraId="197BFB70" w14:textId="77777777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64456"/>
    <w:multiLevelType w:val="hybridMultilevel"/>
    <w:tmpl w:val="D55EF17C"/>
    <w:lvl w:ilvl="0" w:tplc="DD3498BE">
      <w:start w:val="1"/>
      <w:numFmt w:val="bullet"/>
      <w:lvlText w:val="•"/>
      <w:lvlJc w:val="left"/>
      <w:pPr>
        <w:ind w:left="600" w:hanging="280"/>
      </w:pPr>
      <w:rPr>
        <w:rFonts w:ascii="Arial" w:hAnsi="Arial" w:eastAsia="Arial" w:cs="Arial"/>
      </w:rPr>
    </w:lvl>
    <w:lvl w:ilvl="1" w:tplc="4A18CBF8">
      <w:numFmt w:val="decimal"/>
      <w:lvlText w:val=""/>
      <w:lvlJc w:val="left"/>
    </w:lvl>
    <w:lvl w:ilvl="2" w:tplc="996E9F9E">
      <w:numFmt w:val="decimal"/>
      <w:lvlText w:val=""/>
      <w:lvlJc w:val="left"/>
    </w:lvl>
    <w:lvl w:ilvl="3" w:tplc="EF38EF7A">
      <w:numFmt w:val="decimal"/>
      <w:lvlText w:val=""/>
      <w:lvlJc w:val="left"/>
    </w:lvl>
    <w:lvl w:ilvl="4" w:tplc="A798E83E">
      <w:numFmt w:val="decimal"/>
      <w:lvlText w:val=""/>
      <w:lvlJc w:val="left"/>
    </w:lvl>
    <w:lvl w:ilvl="5" w:tplc="247048C8">
      <w:numFmt w:val="decimal"/>
      <w:lvlText w:val=""/>
      <w:lvlJc w:val="left"/>
    </w:lvl>
    <w:lvl w:ilvl="6" w:tplc="73A02602">
      <w:numFmt w:val="decimal"/>
      <w:lvlText w:val=""/>
      <w:lvlJc w:val="left"/>
    </w:lvl>
    <w:lvl w:ilvl="7" w:tplc="815E76CE">
      <w:numFmt w:val="decimal"/>
      <w:lvlText w:val=""/>
      <w:lvlJc w:val="left"/>
    </w:lvl>
    <w:lvl w:ilvl="8" w:tplc="239805DA">
      <w:numFmt w:val="decimal"/>
      <w:lvlText w:val=""/>
      <w:lvlJc w:val="left"/>
    </w:lvl>
  </w:abstractNum>
  <w:abstractNum w:abstractNumId="1" w15:restartNumberingAfterBreak="0">
    <w:nsid w:val="123C3C61"/>
    <w:multiLevelType w:val="hybridMultilevel"/>
    <w:tmpl w:val="1466FA22"/>
    <w:lvl w:ilvl="0" w:tplc="87F4FE44">
      <w:start w:val="1"/>
      <w:numFmt w:val="bullet"/>
      <w:lvlText w:val="●"/>
      <w:lvlJc w:val="left"/>
      <w:pPr>
        <w:ind w:left="720" w:hanging="360"/>
      </w:pPr>
    </w:lvl>
    <w:lvl w:ilvl="1" w:tplc="3CB0961C">
      <w:start w:val="1"/>
      <w:numFmt w:val="bullet"/>
      <w:lvlText w:val="○"/>
      <w:lvlJc w:val="left"/>
      <w:pPr>
        <w:ind w:left="1440" w:hanging="360"/>
      </w:pPr>
    </w:lvl>
    <w:lvl w:ilvl="2" w:tplc="3F527DCE">
      <w:start w:val="1"/>
      <w:numFmt w:val="bullet"/>
      <w:lvlText w:val="■"/>
      <w:lvlJc w:val="left"/>
      <w:pPr>
        <w:ind w:left="2160" w:hanging="360"/>
      </w:pPr>
    </w:lvl>
    <w:lvl w:ilvl="3" w:tplc="DCE2808E">
      <w:start w:val="1"/>
      <w:numFmt w:val="bullet"/>
      <w:lvlText w:val="●"/>
      <w:lvlJc w:val="left"/>
      <w:pPr>
        <w:ind w:left="2880" w:hanging="360"/>
      </w:pPr>
    </w:lvl>
    <w:lvl w:ilvl="4" w:tplc="2A24EF48">
      <w:start w:val="1"/>
      <w:numFmt w:val="bullet"/>
      <w:lvlText w:val="○"/>
      <w:lvlJc w:val="left"/>
      <w:pPr>
        <w:ind w:left="3600" w:hanging="360"/>
      </w:pPr>
    </w:lvl>
    <w:lvl w:ilvl="5" w:tplc="5CC08F42">
      <w:start w:val="1"/>
      <w:numFmt w:val="bullet"/>
      <w:lvlText w:val="■"/>
      <w:lvlJc w:val="left"/>
      <w:pPr>
        <w:ind w:left="4320" w:hanging="360"/>
      </w:pPr>
    </w:lvl>
    <w:lvl w:ilvl="6" w:tplc="67FCCFDA">
      <w:start w:val="1"/>
      <w:numFmt w:val="bullet"/>
      <w:lvlText w:val="●"/>
      <w:lvlJc w:val="left"/>
      <w:pPr>
        <w:ind w:left="5040" w:hanging="360"/>
      </w:pPr>
    </w:lvl>
    <w:lvl w:ilvl="7" w:tplc="58F048A8">
      <w:start w:val="1"/>
      <w:numFmt w:val="bullet"/>
      <w:lvlText w:val="●"/>
      <w:lvlJc w:val="left"/>
      <w:pPr>
        <w:ind w:left="5760" w:hanging="360"/>
      </w:pPr>
    </w:lvl>
    <w:lvl w:ilvl="8" w:tplc="A5C8541E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395C342F"/>
    <w:multiLevelType w:val="hybridMultilevel"/>
    <w:tmpl w:val="413640AC"/>
    <w:lvl w:ilvl="0" w:tplc="68CA8426">
      <w:start w:val="1"/>
      <w:numFmt w:val="decimal"/>
      <w:lvlText w:val="%1."/>
      <w:lvlJc w:val="left"/>
      <w:pPr>
        <w:ind w:left="600" w:hanging="320"/>
      </w:pPr>
    </w:lvl>
    <w:lvl w:ilvl="1" w:tplc="3A02D2CA">
      <w:numFmt w:val="decimal"/>
      <w:lvlText w:val=""/>
      <w:lvlJc w:val="left"/>
    </w:lvl>
    <w:lvl w:ilvl="2" w:tplc="1A48BC02">
      <w:numFmt w:val="decimal"/>
      <w:lvlText w:val=""/>
      <w:lvlJc w:val="left"/>
    </w:lvl>
    <w:lvl w:ilvl="3" w:tplc="2EC492F2">
      <w:numFmt w:val="decimal"/>
      <w:lvlText w:val=""/>
      <w:lvlJc w:val="left"/>
    </w:lvl>
    <w:lvl w:ilvl="4" w:tplc="BFC0D338">
      <w:numFmt w:val="decimal"/>
      <w:lvlText w:val=""/>
      <w:lvlJc w:val="left"/>
    </w:lvl>
    <w:lvl w:ilvl="5" w:tplc="CA5E0AE2">
      <w:numFmt w:val="decimal"/>
      <w:lvlText w:val=""/>
      <w:lvlJc w:val="left"/>
    </w:lvl>
    <w:lvl w:ilvl="6" w:tplc="C83C3864">
      <w:numFmt w:val="decimal"/>
      <w:lvlText w:val=""/>
      <w:lvlJc w:val="left"/>
    </w:lvl>
    <w:lvl w:ilvl="7" w:tplc="E55467D2">
      <w:numFmt w:val="decimal"/>
      <w:lvlText w:val=""/>
      <w:lvlJc w:val="left"/>
    </w:lvl>
    <w:lvl w:ilvl="8" w:tplc="7AAEDDF8">
      <w:numFmt w:val="decimal"/>
      <w:lvlText w:val=""/>
      <w:lvlJc w:val="left"/>
    </w:lvl>
  </w:abstractNum>
  <w:num w:numId="1" w16cid:durableId="1877695330">
    <w:abstractNumId w:val="1"/>
    <w:lvlOverride w:ilvl="0">
      <w:startOverride w:val="1"/>
    </w:lvlOverride>
  </w:num>
  <w:num w:numId="2" w16cid:durableId="504126634">
    <w:abstractNumId w:val="0"/>
    <w:lvlOverride w:ilvl="0">
      <w:startOverride w:val="1"/>
    </w:lvlOverride>
  </w:num>
  <w:num w:numId="3" w16cid:durableId="592594547">
    <w:abstractNumId w:val="2"/>
    <w:lvlOverride w:ilvl="0">
      <w:startOverride w:val="1"/>
    </w:lvlOverride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2"/>
  <w:displayBackgroundShape/>
  <w:proofState w:spelling="clean" w:grammar="dirty"/>
  <w:trackRevisions w:val="false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91E4F"/>
    <w:rsid w:val="00000000"/>
    <w:rsid w:val="000D6CAF"/>
    <w:rsid w:val="001A141D"/>
    <w:rsid w:val="00272343"/>
    <w:rsid w:val="00391E4F"/>
    <w:rsid w:val="00400804"/>
    <w:rsid w:val="004F3339"/>
    <w:rsid w:val="007C5C81"/>
    <w:rsid w:val="009530E0"/>
    <w:rsid w:val="00993144"/>
    <w:rsid w:val="00A43735"/>
    <w:rsid w:val="00B32E36"/>
    <w:rsid w:val="00C16CB7"/>
    <w:rsid w:val="00CC0BA3"/>
    <w:rsid w:val="00D04160"/>
    <w:rsid w:val="00EC421C"/>
    <w:rsid w:val="021F09C7"/>
    <w:rsid w:val="18365620"/>
    <w:rsid w:val="19E8B975"/>
    <w:rsid w:val="4D01DAE5"/>
    <w:rsid w:val="6AA5A9E2"/>
    <w:rsid w:val="6C8E17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305EBA7"/>
  <w15:docId w15:val="{BB618CA5-2D1E-A543-90A4-46EF0068B97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Arial" w:hAnsi="Arial" w:eastAsia="Arial" w:cs="Arial"/>
        <w:sz w:val="24"/>
        <w:szCs w:val="24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A43735"/>
    <w:rPr>
      <w:sz w:val="20"/>
    </w:rPr>
  </w:style>
  <w:style w:type="paragraph" w:styleId="Ttulo1">
    <w:name w:val="heading 1"/>
    <w:uiPriority w:val="9"/>
    <w:qFormat/>
    <w:pPr>
      <w:keepNext/>
      <w:spacing w:before="300" w:after="140"/>
      <w:outlineLvl w:val="0"/>
    </w:pPr>
    <w:rPr>
      <w:b/>
      <w:bCs/>
      <w:color w:val="2F5496"/>
      <w:sz w:val="30"/>
      <w:szCs w:val="30"/>
    </w:rPr>
  </w:style>
  <w:style w:type="paragraph" w:styleId="Ttulo2">
    <w:name w:val="heading 2"/>
    <w:uiPriority w:val="9"/>
    <w:unhideWhenUsed/>
    <w:qFormat/>
    <w:pPr>
      <w:keepNext/>
      <w:spacing w:before="200" w:after="90"/>
      <w:outlineLvl w:val="1"/>
    </w:pPr>
    <w:rPr>
      <w:b/>
      <w:bCs/>
      <w:color w:val="2F5496"/>
      <w:sz w:val="25"/>
      <w:szCs w:val="25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styleId="Forte1" w:customStyle="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  <w:rPr>
      <w:sz w:val="20"/>
      <w:szCs w:val="20"/>
    </w:rPr>
  </w:style>
  <w:style w:type="character" w:styleId="TextodenotaderodapChar" w:customStyle="1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  <w:rPr>
      <w:sz w:val="20"/>
      <w:szCs w:val="20"/>
    </w:rPr>
  </w:style>
  <w:style w:type="character" w:styleId="TextodenotadefimChar" w:customStyle="1">
    <w:name w:val="Texto de nota de fim Char"/>
    <w:link w:val="Textodenotadefim"/>
    <w:uiPriority w:val="99"/>
    <w:semiHidden/>
    <w:unhideWhenUsed/>
    <w:rPr>
      <w:sz w:val="20"/>
      <w:szCs w:val="20"/>
    </w:rPr>
  </w:style>
  <w:style w:type="paragraph" w:styleId="CabealhodoSumrio">
    <w:name w:val="TOC Heading"/>
    <w:basedOn w:val="Ttulo1"/>
    <w:next w:val="Normal"/>
    <w:uiPriority w:val="39"/>
    <w:unhideWhenUsed/>
    <w:qFormat/>
    <w:rsid w:val="00A43735"/>
    <w:pPr>
      <w:keepLines/>
      <w:spacing w:before="480" w:after="0" w:line="276" w:lineRule="auto"/>
      <w:outlineLvl w:val="9"/>
    </w:pPr>
    <w:rPr>
      <w:rFonts w:asciiTheme="majorHAnsi" w:hAnsiTheme="majorHAnsi" w:eastAsiaTheme="majorEastAsia" w:cstheme="majorBidi"/>
      <w:color w:val="0F4761" w:themeColor="accent1" w:themeShade="BF"/>
      <w:sz w:val="28"/>
      <w:szCs w:val="28"/>
    </w:rPr>
  </w:style>
  <w:style w:type="paragraph" w:styleId="Sumrio1">
    <w:name w:val="toc 1"/>
    <w:basedOn w:val="Normal"/>
    <w:next w:val="Normal"/>
    <w:autoRedefine/>
    <w:uiPriority w:val="39"/>
    <w:unhideWhenUsed/>
    <w:rsid w:val="00B32E36"/>
    <w:pPr>
      <w:tabs>
        <w:tab w:val="right" w:leader="dot" w:pos="9350"/>
      </w:tabs>
      <w:spacing w:after="12"/>
    </w:pPr>
    <w:rPr>
      <w:i/>
      <w:iCs/>
      <w:noProof/>
      <w:szCs w:val="20"/>
    </w:rPr>
  </w:style>
  <w:style w:type="paragraph" w:styleId="Sumrio2">
    <w:name w:val="toc 2"/>
    <w:basedOn w:val="Normal"/>
    <w:next w:val="Normal"/>
    <w:autoRedefine/>
    <w:uiPriority w:val="39"/>
    <w:unhideWhenUsed/>
    <w:rsid w:val="00A43735"/>
    <w:pPr>
      <w:spacing w:before="120"/>
      <w:ind w:left="200"/>
    </w:pPr>
    <w:rPr>
      <w:rFonts w:asciiTheme="minorHAnsi" w:hAnsiTheme="minorHAnsi"/>
      <w:b/>
      <w:bCs/>
      <w:sz w:val="22"/>
      <w:szCs w:val="22"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A43735"/>
    <w:pPr>
      <w:ind w:left="400"/>
    </w:pPr>
    <w:rPr>
      <w:rFonts w:asciiTheme="minorHAnsi" w:hAnsiTheme="minorHAnsi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A43735"/>
    <w:pPr>
      <w:ind w:left="600"/>
    </w:pPr>
    <w:rPr>
      <w:rFonts w:asciiTheme="minorHAnsi" w:hAnsiTheme="minorHAnsi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A43735"/>
    <w:pPr>
      <w:ind w:left="800"/>
    </w:pPr>
    <w:rPr>
      <w:rFonts w:asciiTheme="minorHAnsi" w:hAnsiTheme="minorHAnsi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A43735"/>
    <w:pPr>
      <w:ind w:left="1000"/>
    </w:pPr>
    <w:rPr>
      <w:rFonts w:asciiTheme="minorHAnsi" w:hAnsiTheme="minorHAnsi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A43735"/>
    <w:pPr>
      <w:ind w:left="1200"/>
    </w:pPr>
    <w:rPr>
      <w:rFonts w:asciiTheme="minorHAnsi" w:hAnsiTheme="minorHAnsi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A43735"/>
    <w:pPr>
      <w:ind w:left="1400"/>
    </w:pPr>
    <w:rPr>
      <w:rFonts w:asciiTheme="minorHAnsi" w:hAnsiTheme="minorHAnsi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A43735"/>
    <w:pPr>
      <w:ind w:left="1600"/>
    </w:pPr>
    <w:rPr>
      <w:rFonts w:asciiTheme="minorHAnsi" w:hAnsiTheme="minorHAnsi"/>
      <w:szCs w:val="20"/>
    </w:rPr>
  </w:style>
  <w:style w:type="paragraph" w:styleId="Legenda">
    <w:name w:val="caption"/>
    <w:basedOn w:val="Normal"/>
    <w:next w:val="Normal"/>
    <w:uiPriority w:val="35"/>
    <w:unhideWhenUsed/>
    <w:qFormat/>
    <w:rsid w:val="00C16CB7"/>
    <w:pPr>
      <w:spacing w:after="200"/>
    </w:pPr>
    <w:rPr>
      <w:i/>
      <w:iCs/>
      <w:color w:val="595959"/>
      <w:sz w:val="18"/>
      <w:szCs w:val="18"/>
    </w:rPr>
  </w:style>
  <w:style w:type="paragraph" w:styleId="ndicedeilustraes">
    <w:name w:val="table of figures"/>
    <w:basedOn w:val="Normal"/>
    <w:next w:val="Normal"/>
    <w:uiPriority w:val="99"/>
    <w:unhideWhenUsed/>
    <w:rsid w:val="00CC0BA3"/>
    <w:rPr>
      <w:rFonts w:asciiTheme="minorHAnsi" w:hAnsiTheme="minorHAnsi"/>
      <w:i/>
      <w:iCs/>
      <w:szCs w:val="20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F3339"/>
    <w:pPr>
      <w:pBdr>
        <w:top w:val="single" w:color="156082" w:themeColor="accent1" w:sz="4" w:space="10"/>
        <w:bottom w:val="single" w:color="156082" w:themeColor="accent1" w:sz="4" w:space="10"/>
      </w:pBdr>
      <w:spacing w:before="360" w:after="360"/>
      <w:ind w:left="864" w:right="864"/>
      <w:jc w:val="center"/>
    </w:pPr>
    <w:rPr>
      <w:i/>
      <w:iCs/>
      <w:color w:val="156082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rsid w:val="004F3339"/>
    <w:rPr>
      <w:i/>
      <w:iCs/>
      <w:color w:val="156082" w:themeColor="accent1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image" Target="media/image6.png" Id="rId13" /><Relationship Type="http://schemas.openxmlformats.org/officeDocument/2006/relationships/image" Target="media/image11.png" Id="rId18" /><Relationship Type="http://schemas.openxmlformats.org/officeDocument/2006/relationships/header" Target="header1.xml" Id="rId26" /><Relationship Type="http://schemas.openxmlformats.org/officeDocument/2006/relationships/styles" Target="styles.xml" Id="rId3" /><Relationship Type="http://schemas.openxmlformats.org/officeDocument/2006/relationships/image" Target="media/image14.png" Id="rId21" /><Relationship Type="http://schemas.openxmlformats.org/officeDocument/2006/relationships/endnotes" Target="endnotes.xml" Id="rId7" /><Relationship Type="http://schemas.openxmlformats.org/officeDocument/2006/relationships/image" Target="media/image5.png" Id="rId12" /><Relationship Type="http://schemas.openxmlformats.org/officeDocument/2006/relationships/image" Target="media/image10.png" Id="rId17" /><Relationship Type="http://schemas.openxmlformats.org/officeDocument/2006/relationships/image" Target="media/image18.png" Id="rId25" /><Relationship Type="http://schemas.openxmlformats.org/officeDocument/2006/relationships/numbering" Target="numbering.xml" Id="rId2" /><Relationship Type="http://schemas.openxmlformats.org/officeDocument/2006/relationships/image" Target="media/image9.png" Id="rId16" /><Relationship Type="http://schemas.openxmlformats.org/officeDocument/2006/relationships/image" Target="media/image13.png" Id="rId20" /><Relationship Type="http://schemas.openxmlformats.org/officeDocument/2006/relationships/footer" Target="footer2.xml" Id="rId29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image" Target="media/image4.png" Id="rId11" /><Relationship Type="http://schemas.openxmlformats.org/officeDocument/2006/relationships/image" Target="media/image17.png" Id="rId24" /><Relationship Type="http://schemas.openxmlformats.org/officeDocument/2006/relationships/webSettings" Target="webSettings.xml" Id="rId5" /><Relationship Type="http://schemas.openxmlformats.org/officeDocument/2006/relationships/image" Target="media/image8.png" Id="rId15" /><Relationship Type="http://schemas.openxmlformats.org/officeDocument/2006/relationships/image" Target="media/image16.png" Id="rId23" /><Relationship Type="http://schemas.openxmlformats.org/officeDocument/2006/relationships/header" Target="header2.xml" Id="rId28" /><Relationship Type="http://schemas.openxmlformats.org/officeDocument/2006/relationships/image" Target="media/image3.png" Id="rId10" /><Relationship Type="http://schemas.openxmlformats.org/officeDocument/2006/relationships/image" Target="media/image12.png" Id="rId19" /><Relationship Type="http://schemas.openxmlformats.org/officeDocument/2006/relationships/theme" Target="theme/theme1.xml" Id="rId31" /><Relationship Type="http://schemas.openxmlformats.org/officeDocument/2006/relationships/settings" Target="settings.xml" Id="rId4" /><Relationship Type="http://schemas.openxmlformats.org/officeDocument/2006/relationships/image" Target="media/image2.png" Id="rId9" /><Relationship Type="http://schemas.openxmlformats.org/officeDocument/2006/relationships/image" Target="media/image7.png" Id="rId14" /><Relationship Type="http://schemas.openxmlformats.org/officeDocument/2006/relationships/image" Target="media/image15.png" Id="rId22" /><Relationship Type="http://schemas.openxmlformats.org/officeDocument/2006/relationships/footer" Target="footer1.xml" Id="rId27" /><Relationship Type="http://schemas.openxmlformats.org/officeDocument/2006/relationships/fontTable" Target="fontTable.xml" Id="rId30" /><Relationship Type="http://schemas.openxmlformats.org/officeDocument/2006/relationships/hyperlink" Target="https://youtu.be/24j8LucBWxU?si=hbToJGP8F1KqrZIN" TargetMode="External" Id="R906fd8fa97904408" /><Relationship Type="http://schemas.openxmlformats.org/officeDocument/2006/relationships/hyperlink" Target="https://github.com/lgmricardo/Techchallenge2-G12" TargetMode="External" Id="R4ba2ba4781d44bf5" /><Relationship Type="http://schemas.openxmlformats.org/officeDocument/2006/relationships/hyperlink" Target="https://youtu.be/24j8LucBWxU?si=hbToJGP8F1KqrZIN" TargetMode="External" Id="R3a1d126069814401" /></Relationships>
</file>

<file path=word/theme/theme1.xml><?xml version="1.0" encoding="utf-8"?>
<a:theme xmlns:a="http://schemas.openxmlformats.org/drawingml/2006/main" xmlns:thm15="http://schemas.microsoft.com/office/thememl/2012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6C12BFB1-3675-0C49-8416-1B041AB6D428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Un-named</dc:creator>
  <lastModifiedBy>THIAGO GALVAO</lastModifiedBy>
  <revision>5</revision>
  <lastPrinted>2026-06-23T15:24:00.0000000Z</lastPrinted>
  <dcterms:created xsi:type="dcterms:W3CDTF">2026-06-23T15:24:00.0000000Z</dcterms:created>
  <dcterms:modified xsi:type="dcterms:W3CDTF">2026-07-13T17:33:36.4231836Z</dcterms:modified>
</coreProperties>
</file>