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77ABE2" w14:textId="77777777" w:rsidR="00662B7B" w:rsidRDefault="00662B7B">
      <w:pPr>
        <w:spacing w:before="1400"/>
        <w:rPr>
          <w:rFonts w:ascii="Arial" w:hAnsi="Arial" w:cs="Arial"/>
          <w:sz w:val="20"/>
        </w:rPr>
      </w:pPr>
    </w:p>
    <w:p w14:paraId="5A09BEE3" w14:textId="77777777" w:rsidR="00662B7B" w:rsidRDefault="00000000">
      <w:pPr>
        <w:spacing w:after="3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color w:val="000000"/>
          <w:sz w:val="20"/>
        </w:rPr>
        <w:t>POSTECH DTAT</w:t>
      </w:r>
    </w:p>
    <w:p w14:paraId="42ECF6BD" w14:textId="77777777" w:rsidR="00662B7B" w:rsidRDefault="00000000">
      <w:pPr>
        <w:spacing w:after="500"/>
        <w:jc w:val="center"/>
        <w:rPr>
          <w:rFonts w:ascii="Arial" w:hAnsi="Arial" w:cs="Arial"/>
          <w:b/>
          <w:bCs/>
          <w:color w:val="000000"/>
          <w:sz w:val="20"/>
        </w:rPr>
      </w:pPr>
      <w:r>
        <w:rPr>
          <w:rFonts w:ascii="Arial" w:hAnsi="Arial" w:cs="Arial"/>
          <w:b/>
          <w:bCs/>
          <w:color w:val="000000"/>
          <w:sz w:val="20"/>
        </w:rPr>
        <w:t>Tech Challenge — Fase 3</w:t>
      </w:r>
    </w:p>
    <w:p w14:paraId="17C27632" w14:textId="77777777" w:rsidR="007D71C6" w:rsidRDefault="007D71C6">
      <w:pPr>
        <w:spacing w:after="500"/>
        <w:jc w:val="center"/>
        <w:rPr>
          <w:rFonts w:ascii="Arial" w:hAnsi="Arial" w:cs="Arial"/>
          <w:b/>
          <w:bCs/>
          <w:color w:val="000000"/>
          <w:sz w:val="20"/>
        </w:rPr>
      </w:pPr>
    </w:p>
    <w:p w14:paraId="1A3D2539" w14:textId="77777777" w:rsidR="007D71C6" w:rsidRDefault="007D71C6">
      <w:pPr>
        <w:spacing w:after="500"/>
        <w:jc w:val="center"/>
        <w:rPr>
          <w:rFonts w:ascii="Arial" w:hAnsi="Arial" w:cs="Arial"/>
          <w:sz w:val="20"/>
        </w:rPr>
      </w:pPr>
    </w:p>
    <w:p w14:paraId="36C9B301" w14:textId="77777777" w:rsidR="00662B7B" w:rsidRPr="00E60626" w:rsidRDefault="00000000">
      <w:pPr>
        <w:spacing w:after="60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>O Mercado Brasileiro de Dados</w:t>
      </w:r>
    </w:p>
    <w:p w14:paraId="72E50926" w14:textId="77777777" w:rsidR="00662B7B" w:rsidRPr="00E60626" w:rsidRDefault="00000000">
      <w:pPr>
        <w:spacing w:after="400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>Big Data &amp; Analytics na AWS com a pesquisa State of Data Brasil</w:t>
      </w:r>
    </w:p>
    <w:p w14:paraId="579CE433" w14:textId="77777777" w:rsidR="007D71C6" w:rsidRDefault="007D71C6">
      <w:pPr>
        <w:spacing w:after="900"/>
        <w:jc w:val="center"/>
        <w:rPr>
          <w:rFonts w:ascii="Arial" w:hAnsi="Arial" w:cs="Arial"/>
          <w:i/>
          <w:iCs/>
          <w:color w:val="000000"/>
          <w:sz w:val="20"/>
        </w:rPr>
      </w:pPr>
    </w:p>
    <w:p w14:paraId="38EB59DC" w14:textId="77777777" w:rsidR="007D71C6" w:rsidRDefault="007D71C6">
      <w:pPr>
        <w:spacing w:after="900"/>
        <w:jc w:val="center"/>
        <w:rPr>
          <w:rFonts w:ascii="Arial" w:hAnsi="Arial" w:cs="Arial"/>
          <w:i/>
          <w:iCs/>
          <w:color w:val="000000"/>
          <w:sz w:val="20"/>
        </w:rPr>
      </w:pPr>
    </w:p>
    <w:p w14:paraId="37E324E3" w14:textId="77777777" w:rsidR="00662B7B" w:rsidRDefault="00000000">
      <w:pPr>
        <w:spacing w:after="9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i/>
          <w:iCs/>
          <w:color w:val="000000"/>
          <w:sz w:val="20"/>
        </w:rPr>
        <w:t>Relatório Técnico</w:t>
      </w:r>
    </w:p>
    <w:p w14:paraId="200AFBBF" w14:textId="77777777" w:rsidR="00662B7B" w:rsidRDefault="00000000">
      <w:pPr>
        <w:spacing w:after="2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color w:val="000000"/>
          <w:sz w:val="20"/>
        </w:rPr>
        <w:t>Grupo</w:t>
      </w:r>
    </w:p>
    <w:p w14:paraId="60689BB6" w14:textId="77777777" w:rsidR="00662B7B" w:rsidRDefault="00000000">
      <w:pPr>
        <w:spacing w:after="1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Efraim Oliveira</w:t>
      </w:r>
    </w:p>
    <w:p w14:paraId="282A8057" w14:textId="77777777" w:rsidR="00662B7B" w:rsidRDefault="00000000">
      <w:pPr>
        <w:spacing w:after="1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Érica Tarsis</w:t>
      </w:r>
    </w:p>
    <w:p w14:paraId="018A60AD" w14:textId="77777777" w:rsidR="00662B7B" w:rsidRDefault="00000000">
      <w:pPr>
        <w:spacing w:after="1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Ricardo Moraes</w:t>
      </w:r>
    </w:p>
    <w:p w14:paraId="34AB82DF" w14:textId="77777777" w:rsidR="00662B7B" w:rsidRDefault="00000000">
      <w:pPr>
        <w:spacing w:after="1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Rodrigo Bernardino</w:t>
      </w:r>
    </w:p>
    <w:p w14:paraId="32C87D6E" w14:textId="77777777" w:rsidR="00662B7B" w:rsidRDefault="00000000">
      <w:pPr>
        <w:spacing w:after="1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Thiago Galvão</w:t>
      </w:r>
    </w:p>
    <w:p w14:paraId="5080B0D3" w14:textId="77777777" w:rsidR="00662B7B" w:rsidRDefault="00000000">
      <w:pPr>
        <w:spacing w:before="700" w:after="12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São Paulo · 2026</w:t>
      </w:r>
    </w:p>
    <w:p w14:paraId="740C7843" w14:textId="77777777" w:rsidR="00662B7B" w:rsidRDefault="00000000">
      <w:pPr>
        <w:rPr>
          <w:rFonts w:ascii="Arial" w:hAnsi="Arial" w:cs="Arial"/>
          <w:sz w:val="20"/>
        </w:rPr>
      </w:pPr>
      <w:r>
        <w:br w:type="page"/>
      </w:r>
    </w:p>
    <w:p w14:paraId="1D6E9043" w14:textId="77777777" w:rsidR="00662B7B" w:rsidRDefault="00000000" w:rsidP="00587F4A">
      <w:pPr>
        <w:pStyle w:val="Ttulo2"/>
      </w:pPr>
      <w:bookmarkStart w:id="0" w:name="_Toc237938360"/>
      <w:bookmarkStart w:id="1" w:name="_Toc239662545"/>
      <w:r>
        <w:t>Sumário</w:t>
      </w:r>
      <w:bookmarkEnd w:id="0"/>
      <w:bookmarkEnd w:id="1"/>
    </w:p>
    <w:sdt>
      <w:sdtPr>
        <w:id w:val="-1845467935"/>
        <w:docPartObj>
          <w:docPartGallery w:val="Table of Contents"/>
          <w:docPartUnique/>
        </w:docPartObj>
      </w:sdtPr>
      <w:sdtContent>
        <w:p w14:paraId="35A11FCD" w14:textId="77777777" w:rsidR="009D15D8" w:rsidRDefault="00E27960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39662545" w:history="1">
            <w:r>
              <w:rPr>
                <w:rStyle w:val="Hyperlink"/>
                <w:noProof/>
              </w:rPr>
              <w:t>Sumário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_Toc239662545 \h </w:instrText>
              <w:fldChar w:fldCharType="separate"/>
              <w:t>2</w:t>
              <w:fldChar w:fldCharType="end"/>
            </w:r>
          </w:hyperlink>
        </w:p>
        <w:p w14:paraId="014DBD90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6" w:history="1">
            <w:r>
              <w:rPr>
                <w:rStyle w:val="Hyperlink"/>
                <w:noProof/>
              </w:rPr>
              <w:t>Índice de Figuras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_Toc239662546 \h </w:instrText>
              <w:fldChar w:fldCharType="separate"/>
              <w:t>4</w:t>
              <w:fldChar w:fldCharType="end"/>
            </w:r>
          </w:hyperlink>
        </w:p>
        <w:p w14:paraId="1E6DF8BC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7" w:history="1">
            <w:r>
              <w:rPr>
                <w:rStyle w:val="Hyperlink"/>
                <w:noProof/>
              </w:rPr>
              <w:t>Índice de Tabelas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_Toc239662547 \h </w:instrText>
              <w:fldChar w:fldCharType="separate"/>
              <w:t>4</w:t>
              <w:fldChar w:fldCharType="end"/>
            </w:r>
          </w:hyperlink>
        </w:p>
        <w:p w14:paraId="7BEBF958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8" w:history="1">
            <w:r>
              <w:rPr>
                <w:rStyle w:val="Hyperlink"/>
                <w:noProof/>
              </w:rPr>
              <w:t>Resumo Executivo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_Toc239662548 \h </w:instrText>
              <w:fldChar w:fldCharType="separate"/>
              <w:t>5</w:t>
              <w:fldChar w:fldCharType="end"/>
            </w:r>
          </w:hyperlink>
        </w:p>
        <w:p w14:paraId="26C9A164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9" w:history="1">
            <w:r>
              <w:rPr>
                <w:rStyle w:val="Hyperlink"/>
                <w:noProof/>
              </w:rPr>
              <w:t>Artefatos e Links do Projeto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_Toc239662549 \h </w:instrText>
              <w:fldChar w:fldCharType="separate"/>
              <w:t>5</w:t>
              <w:fldChar w:fldCharType="end"/>
            </w:r>
          </w:hyperlink>
        </w:p>
        <w:p w14:paraId="20413127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0" w:history="1">
            <w:r>
              <w:rPr>
                <w:rStyle w:val="Hyperlink"/>
                <w:noProof/>
              </w:rPr>
              <w:t>1. Compreensão do Problema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_Toc239662550 \h </w:instrText>
              <w:fldChar w:fldCharType="separate"/>
              <w:t>6</w:t>
              <w:fldChar w:fldCharType="end"/>
            </w:r>
          </w:hyperlink>
        </w:p>
        <w:p w14:paraId="00076503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1" w:history="1">
            <w:r>
              <w:rPr>
                <w:rStyle w:val="Hyperlink"/>
                <w:noProof/>
              </w:rPr>
              <w:t>1.1 Contexto e motivação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_Toc239662551 \h </w:instrText>
              <w:fldChar w:fldCharType="separate"/>
              <w:t>6</w:t>
              <w:fldChar w:fldCharType="end"/>
            </w:r>
          </w:hyperlink>
        </w:p>
        <w:p w14:paraId="36BACE46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2" w:history="1">
            <w:r>
              <w:rPr>
                <w:rStyle w:val="Hyperlink"/>
                <w:noProof/>
              </w:rPr>
              <w:t>1.2 Pergunta norteadora e desdobramentos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_Toc239662552 \h </w:instrText>
              <w:fldChar w:fldCharType="separate"/>
              <w:t>6</w:t>
              <w:fldChar w:fldCharType="end"/>
            </w:r>
          </w:hyperlink>
        </w:p>
        <w:p w14:paraId="37883763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3" w:history="1">
            <w:r>
              <w:rPr>
                <w:rStyle w:val="Hyperlink"/>
                <w:noProof/>
              </w:rPr>
              <w:t>1.3 Visão geral da metodologia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_Toc239662553 \h </w:instrText>
              <w:fldChar w:fldCharType="separate"/>
              <w:t>7</w:t>
              <w:fldChar w:fldCharType="end"/>
            </w:r>
          </w:hyperlink>
        </w:p>
        <w:p w14:paraId="7FC19DEA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4" w:history="1">
            <w:r>
              <w:rPr>
                <w:rStyle w:val="Hyperlink"/>
                <w:noProof/>
              </w:rPr>
              <w:t>2. Fontes de Dados, Governança e Premissas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_Toc239662554 \h </w:instrText>
              <w:fldChar w:fldCharType="separate"/>
              <w:t>7</w:t>
              <w:fldChar w:fldCharType="end"/>
            </w:r>
          </w:hyperlink>
        </w:p>
        <w:p w14:paraId="41D408C1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5" w:history="1">
            <w:r>
              <w:rPr>
                <w:rStyle w:val="Hyperlink"/>
                <w:noProof/>
              </w:rPr>
              <w:t>2.1 Bases utilizadas e volumetria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_Toc239662555 \h </w:instrText>
              <w:fldChar w:fldCharType="separate"/>
              <w:t>7</w:t>
              <w:fldChar w:fldCharType="end"/>
            </w:r>
          </w:hyperlink>
        </w:p>
        <w:p w14:paraId="7E60996B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6" w:history="1">
            <w:r>
              <w:rPr>
                <w:rStyle w:val="Hyperlink"/>
                <w:noProof/>
              </w:rPr>
              <w:t>2.2 Divergência de esquemas e harmonização (de-para)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_Toc239662556 \h </w:instrText>
              <w:fldChar w:fldCharType="separate"/>
              <w:t>8</w:t>
              <w:fldChar w:fldCharType="end"/>
            </w:r>
          </w:hyperlink>
        </w:p>
        <w:p w14:paraId="5AEA9EBF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7" w:history="1">
            <w:r>
              <w:rPr>
                <w:rStyle w:val="Hyperlink"/>
                <w:noProof/>
              </w:rPr>
              <w:t>2.3 Premissas versionadas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_Toc239662557 \h </w:instrText>
              <w:fldChar w:fldCharType="separate"/>
              <w:t>9</w:t>
              <w:fldChar w:fldCharType="end"/>
            </w:r>
          </w:hyperlink>
        </w:p>
        <w:p w14:paraId="75D8EF68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8" w:history="1">
            <w:r>
              <w:rPr>
                <w:rStyle w:val="Hyperlink"/>
                <w:noProof/>
              </w:rPr>
              <w:t>2.4 LGPD e conformidade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_Toc239662558 \h </w:instrText>
              <w:fldChar w:fldCharType="separate"/>
              <w:t>9</w:t>
              <w:fldChar w:fldCharType="end"/>
            </w:r>
          </w:hyperlink>
        </w:p>
        <w:p w14:paraId="1E6569CF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9" w:history="1">
            <w:r>
              <w:rPr>
                <w:rStyle w:val="Hyperlink"/>
                <w:noProof/>
              </w:rPr>
              <w:t>2.5 Análise Exploratória e Qualidade dos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_Toc239662559 \h </w:instrText>
              <w:fldChar w:fldCharType="separate"/>
              <w:t>9</w:t>
              <w:fldChar w:fldCharType="end"/>
            </w:r>
          </w:hyperlink>
        </w:p>
        <w:p w14:paraId="3398FBCC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0" w:history="1">
            <w:r>
              <w:rPr>
                <w:rStyle w:val="Hyperlink"/>
                <w:noProof/>
              </w:rPr>
              <w:t>2.6 Nota metodológica: abordagem descritiva e escolhas de representação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_Toc239662560 \h </w:instrText>
              <w:fldChar w:fldCharType="separate"/>
              <w:t>10</w:t>
              <w:fldChar w:fldCharType="end"/>
            </w:r>
          </w:hyperlink>
        </w:p>
        <w:p w14:paraId="0F009389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1" w:history="1">
            <w:r>
              <w:rPr>
                <w:rStyle w:val="Hyperlink"/>
                <w:noProof/>
              </w:rPr>
              <w:t>3. Arquitetura da Solução AWS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_Toc239662561 \h </w:instrText>
              <w:fldChar w:fldCharType="separate"/>
              <w:t>11</w:t>
              <w:fldChar w:fldCharType="end"/>
            </w:r>
          </w:hyperlink>
        </w:p>
        <w:p w14:paraId="24289AC1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2" w:history="1">
            <w:r>
              <w:rPr>
                <w:rStyle w:val="Hyperlink"/>
                <w:noProof/>
              </w:rPr>
              <w:t>3.1 Visão geral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_Toc239662562 \h </w:instrText>
              <w:fldChar w:fldCharType="separate"/>
              <w:t>11</w:t>
              <w:fldChar w:fldCharType="end"/>
            </w:r>
          </w:hyperlink>
        </w:p>
        <w:p w14:paraId="44C5A97E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3" w:history="1">
            <w:r>
              <w:rPr>
                <w:rStyle w:val="Hyperlink"/>
                <w:noProof/>
              </w:rPr>
              <w:t>3.2 Camadas e responsabilidades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_Toc239662563 \h </w:instrText>
              <w:fldChar w:fldCharType="separate"/>
              <w:t>11</w:t>
              <w:fldChar w:fldCharType="end"/>
            </w:r>
          </w:hyperlink>
        </w:p>
        <w:p w14:paraId="6E041645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4" w:history="1">
            <w:r>
              <w:rPr>
                <w:rStyle w:val="Hyperlink"/>
                <w:noProof/>
              </w:rPr>
              <w:t>3.3 Segurança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_Toc239662564 \h </w:instrText>
              <w:fldChar w:fldCharType="separate"/>
              <w:t>12</w:t>
              <w:fldChar w:fldCharType="end"/>
            </w:r>
          </w:hyperlink>
        </w:p>
        <w:p w14:paraId="2DD74A8E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5" w:history="1">
            <w:r>
              <w:rPr>
                <w:rStyle w:val="Hyperlink"/>
                <w:noProof/>
              </w:rPr>
              <w:t>3.4 Execução no AWS Academy Lab e evidências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_Toc239662565 \h </w:instrText>
              <w:fldChar w:fldCharType="separate"/>
              <w:t>12</w:t>
              <w:fldChar w:fldCharType="end"/>
            </w:r>
          </w:hyperlink>
        </w:p>
        <w:p w14:paraId="3753FC3C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6" w:history="1">
            <w:r>
              <w:rPr>
                <w:rStyle w:val="Hyperlink"/>
                <w:noProof/>
              </w:rPr>
              <w:t>4. Pipeline de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_Toc239662566 \h </w:instrText>
              <w:fldChar w:fldCharType="separate"/>
              <w:t>12</w:t>
              <w:fldChar w:fldCharType="end"/>
            </w:r>
          </w:hyperlink>
        </w:p>
        <w:p w14:paraId="2C004AB0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7" w:history="1">
            <w:r>
              <w:rPr>
                <w:rStyle w:val="Hyperlink"/>
                <w:noProof/>
              </w:rPr>
              <w:t>4.1 Ingestão (Bronze)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_Toc239662567 \h </w:instrText>
              <w:fldChar w:fldCharType="separate"/>
              <w:t>12</w:t>
              <w:fldChar w:fldCharType="end"/>
            </w:r>
          </w:hyperlink>
        </w:p>
        <w:p w14:paraId="223E00F4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8" w:history="1">
            <w:r>
              <w:rPr>
                <w:rStyle w:val="Hyperlink"/>
                <w:noProof/>
              </w:rPr>
              <w:t>4.2 Transformação Bronze → Silver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_Toc239662568 \h </w:instrText>
              <w:fldChar w:fldCharType="separate"/>
              <w:t>12</w:t>
              <w:fldChar w:fldCharType="end"/>
            </w:r>
          </w:hyperlink>
        </w:p>
        <w:p w14:paraId="3FB76144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9" w:history="1">
            <w:r>
              <w:rPr>
                <w:rStyle w:val="Hyperlink"/>
                <w:noProof/>
              </w:rPr>
              <w:t>4.3 Transformação Silver → Gold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_Toc239662569 \h </w:instrText>
              <w:fldChar w:fldCharType="separate"/>
              <w:t>12</w:t>
              <w:fldChar w:fldCharType="end"/>
            </w:r>
          </w:hyperlink>
        </w:p>
        <w:p w14:paraId="791B3242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0" w:history="1">
            <w:r>
              <w:rPr>
                <w:rStyle w:val="Hyperlink"/>
                <w:noProof/>
              </w:rPr>
              <w:t>4.4 Catalogação e consultas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_Toc239662570 \h </w:instrText>
              <w:fldChar w:fldCharType="separate"/>
              <w:t>13</w:t>
              <w:fldChar w:fldCharType="end"/>
            </w:r>
          </w:hyperlink>
        </w:p>
        <w:p w14:paraId="236415E6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1" w:history="1">
            <w:r>
              <w:rPr>
                <w:rStyle w:val="Hyperlink"/>
                <w:noProof/>
              </w:rPr>
              <w:t>4.5 Métricas de qualidade do pipeline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_Toc239662571 \h </w:instrText>
              <w:fldChar w:fldCharType="separate"/>
              <w:t>13</w:t>
              <w:fldChar w:fldCharType="end"/>
            </w:r>
          </w:hyperlink>
        </w:p>
        <w:p w14:paraId="51A8DF10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2" w:history="1">
            <w:r>
              <w:rPr>
                <w:rStyle w:val="Hyperlink"/>
                <w:noProof/>
              </w:rPr>
              <w:t>5. O Mercado Brasileiro de Dados (Pergunta 1)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_Toc239662572 \h </w:instrText>
              <w:fldChar w:fldCharType="separate"/>
              <w:t>13</w:t>
              <w:fldChar w:fldCharType="end"/>
            </w:r>
          </w:hyperlink>
        </w:p>
        <w:p w14:paraId="56823FBA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3" w:history="1">
            <w:r>
              <w:rPr>
                <w:rStyle w:val="Hyperlink"/>
                <w:noProof/>
              </w:rPr>
              <w:t>5.1 Base de respondentes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_Toc239662573 \h </w:instrText>
              <w:fldChar w:fldCharType="separate"/>
              <w:t>13</w:t>
              <w:fldChar w:fldCharType="end"/>
            </w:r>
          </w:hyperlink>
        </w:p>
        <w:p w14:paraId="5DD3B762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4" w:history="1">
            <w:r>
              <w:rPr>
                <w:rStyle w:val="Hyperlink"/>
                <w:noProof/>
              </w:rPr>
              <w:t>5.2 Perfis profissionais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_Toc239662574 \h </w:instrText>
              <w:fldChar w:fldCharType="separate"/>
              <w:t>14</w:t>
              <w:fldChar w:fldCharType="end"/>
            </w:r>
          </w:hyperlink>
        </w:p>
        <w:p w14:paraId="1E2F0B43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5" w:history="1">
            <w:r>
              <w:rPr>
                <w:rStyle w:val="Hyperlink"/>
                <w:noProof/>
              </w:rPr>
              <w:t>5.3 Senioridade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_Toc239662575 \h </w:instrText>
              <w:fldChar w:fldCharType="separate"/>
              <w:t>15</w:t>
              <w:fldChar w:fldCharType="end"/>
            </w:r>
          </w:hyperlink>
        </w:p>
        <w:p w14:paraId="0DCFC8F5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6" w:history="1">
            <w:r>
              <w:rPr>
                <w:rStyle w:val="Hyperlink"/>
                <w:noProof/>
              </w:rPr>
              <w:t>6. Perfis Valorizados e Remuneração (Pergunta 2)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_Toc239662576 \h </w:instrText>
              <w:fldChar w:fldCharType="separate"/>
              <w:t>16</w:t>
              <w:fldChar w:fldCharType="end"/>
            </w:r>
          </w:hyperlink>
        </w:p>
        <w:p w14:paraId="775D1AA5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7" w:history="1">
            <w:r>
              <w:rPr>
                <w:rStyle w:val="Hyperlink"/>
                <w:noProof/>
              </w:rPr>
              <w:t>6.1 A escada salarial por senioridade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_Toc239662577 \h </w:instrText>
              <w:fldChar w:fldCharType="separate"/>
              <w:t>16</w:t>
              <w:fldChar w:fldCharType="end"/>
            </w:r>
          </w:hyperlink>
        </w:p>
        <w:p w14:paraId="49D41C42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8" w:history="1">
            <w:r>
              <w:rPr>
                <w:rStyle w:val="Hyperlink"/>
                <w:noProof/>
              </w:rPr>
              <w:t>6.2 Prêmio por especialização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_Toc239662578 \h </w:instrText>
              <w:fldChar w:fldCharType="separate"/>
              <w:t>16</w:t>
              <w:fldChar w:fldCharType="end"/>
            </w:r>
          </w:hyperlink>
        </w:p>
        <w:p w14:paraId="694CF49A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9" w:history="1">
            <w:r>
              <w:rPr>
                <w:rStyle w:val="Hyperlink"/>
                <w:noProof/>
              </w:rPr>
              <w:t>6.3 Controle por senioridade: o prêmio de cargo é real?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_Toc239662579 \h </w:instrText>
              <w:fldChar w:fldCharType="separate"/>
              <w:t>17</w:t>
              <w:fldChar w:fldCharType="end"/>
            </w:r>
          </w:hyperlink>
        </w:p>
        <w:p w14:paraId="4850B5F9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0" w:history="1">
            <w:r>
              <w:rPr>
                <w:rStyle w:val="Hyperlink"/>
                <w:noProof/>
              </w:rPr>
              <w:t>7. Diversidade de Gênero (Pergunta 3)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_Toc239662580 \h </w:instrText>
              <w:fldChar w:fldCharType="separate"/>
              <w:t>18</w:t>
              <w:fldChar w:fldCharType="end"/>
            </w:r>
          </w:hyperlink>
        </w:p>
        <w:p w14:paraId="5B61FF3A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1" w:history="1">
            <w:r>
              <w:rPr>
                <w:rStyle w:val="Hyperlink"/>
                <w:noProof/>
              </w:rPr>
              <w:t>7.1 Participação feminina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_Toc239662581 \h </w:instrText>
              <w:fldChar w:fldCharType="separate"/>
              <w:t>18</w:t>
              <w:fldChar w:fldCharType="end"/>
            </w:r>
          </w:hyperlink>
        </w:p>
        <w:p w14:paraId="598931E1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2" w:history="1">
            <w:r>
              <w:rPr>
                <w:rStyle w:val="Hyperlink"/>
                <w:noProof/>
              </w:rPr>
              <w:t>7.2 Gap salarial controlado por senioridade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_Toc239662582 \h </w:instrText>
              <w:fldChar w:fldCharType="separate"/>
              <w:t>18</w:t>
              <w:fldChar w:fldCharType="end"/>
            </w:r>
          </w:hyperlink>
        </w:p>
        <w:p w14:paraId="7F4B6E75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3" w:history="1">
            <w:r>
              <w:rPr>
                <w:rStyle w:val="Hyperlink"/>
                <w:noProof/>
              </w:rPr>
              <w:t>7.3 Liderança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_Toc239662583 \h </w:instrText>
              <w:fldChar w:fldCharType="separate"/>
              <w:t>19</w:t>
              <w:fldChar w:fldCharType="end"/>
            </w:r>
          </w:hyperlink>
        </w:p>
        <w:p w14:paraId="0BD98A06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4" w:history="1">
            <w:r>
              <w:rPr>
                <w:rStyle w:val="Hyperlink"/>
                <w:noProof/>
              </w:rPr>
              <w:t>7.4 Decompondo o gap: composição de cargo e diferença residual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_Toc239662584 \h </w:instrText>
              <w:fldChar w:fldCharType="separate"/>
              <w:t>19</w:t>
              <w:fldChar w:fldCharType="end"/>
            </w:r>
          </w:hyperlink>
        </w:p>
        <w:p w14:paraId="3390C3E6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5" w:history="1">
            <w:r>
              <w:rPr>
                <w:rStyle w:val="Hyperlink"/>
                <w:noProof/>
              </w:rPr>
              <w:t>8. Tecnologias com Maior Adoção (Pergunta 4)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_Toc239662585 \h </w:instrText>
              <w:fldChar w:fldCharType="separate"/>
              <w:t>20</w:t>
              <w:fldChar w:fldCharType="end"/>
            </w:r>
          </w:hyperlink>
        </w:p>
        <w:p w14:paraId="53B81F7A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6" w:history="1">
            <w:r>
              <w:rPr>
                <w:rStyle w:val="Hyperlink"/>
                <w:noProof/>
              </w:rPr>
              <w:t>8.1 Linguagens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_Toc239662586 \h </w:instrText>
              <w:fldChar w:fldCharType="separate"/>
              <w:t>20</w:t>
              <w:fldChar w:fldCharType="end"/>
            </w:r>
          </w:hyperlink>
        </w:p>
        <w:p w14:paraId="599C6BC0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7" w:history="1">
            <w:r>
              <w:rPr>
                <w:rStyle w:val="Hyperlink"/>
                <w:noProof/>
              </w:rPr>
              <w:t>8.2 Cloud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_Toc239662587 \h </w:instrText>
              <w:fldChar w:fldCharType="separate"/>
              <w:t>20</w:t>
              <w:fldChar w:fldCharType="end"/>
            </w:r>
          </w:hyperlink>
        </w:p>
        <w:p w14:paraId="60DE9C2F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8" w:history="1">
            <w:r>
              <w:rPr>
                <w:rStyle w:val="Hyperlink"/>
                <w:noProof/>
              </w:rPr>
              <w:t>8.3 Ferramentas de BI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_Toc239662588 \h </w:instrText>
              <w:fldChar w:fldCharType="separate"/>
              <w:t>21</w:t>
              <w:fldChar w:fldCharType="end"/>
            </w:r>
          </w:hyperlink>
        </w:p>
        <w:p w14:paraId="571AA571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9" w:history="1">
            <w:r>
              <w:rPr>
                <w:rStyle w:val="Hyperlink"/>
                <w:noProof/>
              </w:rPr>
              <w:t>9. Inteligência Artificial: Adoção e Impacto (Pergunta 5)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_Toc239662589 \h </w:instrText>
              <w:fldChar w:fldCharType="separate"/>
              <w:t>22</w:t>
              <w:fldChar w:fldCharType="end"/>
            </w:r>
          </w:hyperlink>
        </w:p>
        <w:p w14:paraId="3449CF3F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0" w:history="1">
            <w:r>
              <w:rPr>
                <w:rStyle w:val="Hyperlink"/>
                <w:noProof/>
              </w:rPr>
              <w:t>9.1 IA generativa como prioridade corporativa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_Toc239662590 \h </w:instrText>
              <w:fldChar w:fldCharType="separate"/>
              <w:t>22</w:t>
              <w:fldChar w:fldCharType="end"/>
            </w:r>
          </w:hyperlink>
        </w:p>
        <w:p w14:paraId="0EA06CA5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1" w:history="1">
            <w:r>
              <w:rPr>
                <w:rStyle w:val="Hyperlink"/>
                <w:noProof/>
              </w:rPr>
              <w:t>9.2 Uso individual de GenAI e Copilots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_Toc239662591 \h </w:instrText>
              <w:fldChar w:fldCharType="separate"/>
              <w:t>23</w:t>
              <w:fldChar w:fldCharType="end"/>
            </w:r>
          </w:hyperlink>
        </w:p>
        <w:p w14:paraId="3B74B7BB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2" w:history="1">
            <w:r>
              <w:rPr>
                <w:rStyle w:val="Hyperlink"/>
                <w:noProof/>
              </w:rPr>
              <w:t>10. Regiões e Modelos de Trabalho (Pergunta 6)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_Toc239662592 \h </w:instrText>
              <w:fldChar w:fldCharType="separate"/>
              <w:t>24</w:t>
              <w:fldChar w:fldCharType="end"/>
            </w:r>
          </w:hyperlink>
        </w:p>
        <w:p w14:paraId="07B946D8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3" w:history="1">
            <w:r>
              <w:rPr>
                <w:rStyle w:val="Hyperlink"/>
                <w:noProof/>
              </w:rPr>
              <w:t>10.1 Geografia do talento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_Toc239662593 \h </w:instrText>
              <w:fldChar w:fldCharType="separate"/>
              <w:t>24</w:t>
              <w:fldChar w:fldCharType="end"/>
            </w:r>
          </w:hyperlink>
        </w:p>
        <w:p w14:paraId="69DF9200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4" w:history="1">
            <w:r>
              <w:rPr>
                <w:rStyle w:val="Hyperlink"/>
                <w:noProof/>
              </w:rPr>
              <w:t>10.2 O gap entre modelo praticado e desejado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_Toc239662594 \h </w:instrText>
              <w:fldChar w:fldCharType="separate"/>
              <w:t>25</w:t>
              <w:fldChar w:fldCharType="end"/>
            </w:r>
          </w:hyperlink>
        </w:p>
        <w:p w14:paraId="40F0F96B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5" w:history="1">
            <w:r>
              <w:rPr>
                <w:rStyle w:val="Hyperlink"/>
                <w:noProof/>
              </w:rPr>
              <w:t>10.3 Termômetro do mercado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_Toc239662595 \h </w:instrText>
              <w:fldChar w:fldCharType="separate"/>
              <w:t>25</w:t>
              <w:fldChar w:fldCharType="end"/>
            </w:r>
          </w:hyperlink>
        </w:p>
        <w:p w14:paraId="779D5B87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6" w:history="1">
            <w:r>
              <w:rPr>
                <w:rStyle w:val="Hyperlink"/>
                <w:noProof/>
              </w:rPr>
              <w:t>11. Oportunidades e Desafios (Pergunta 7)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_Toc239662596 \h </w:instrText>
              <w:fldChar w:fldCharType="separate"/>
              <w:t>25</w:t>
              <w:fldChar w:fldCharType="end"/>
            </w:r>
          </w:hyperlink>
        </w:p>
        <w:p w14:paraId="6ACD4C31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7" w:history="1">
            <w:r>
              <w:rPr>
                <w:rStyle w:val="Hyperlink"/>
                <w:noProof/>
              </w:rPr>
              <w:t>11.1 O que decide a escolha de um empregador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_Toc239662597 \h </w:instrText>
              <w:fldChar w:fldCharType="separate"/>
              <w:t>25</w:t>
              <w:fldChar w:fldCharType="end"/>
            </w:r>
          </w:hyperlink>
        </w:p>
        <w:p w14:paraId="60F0E145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8" w:history="1">
            <w:r>
              <w:rPr>
                <w:rStyle w:val="Hyperlink"/>
                <w:noProof/>
              </w:rPr>
              <w:t>11.2 As dores de quem já gere times de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_Toc239662598 \h </w:instrText>
              <w:fldChar w:fldCharType="separate"/>
              <w:t>26</w:t>
              <w:fldChar w:fldCharType="end"/>
            </w:r>
          </w:hyperlink>
        </w:p>
        <w:p w14:paraId="13FEFC72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9" w:history="1">
            <w:r>
              <w:rPr>
                <w:rStyle w:val="Hyperlink"/>
                <w:noProof/>
              </w:rPr>
              <w:t>11.3 Síntese: oportunidades × desafios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_Toc239662599 \h </w:instrText>
              <w:fldChar w:fldCharType="separate"/>
              <w:t>27</w:t>
              <w:fldChar w:fldCharType="end"/>
            </w:r>
          </w:hyperlink>
        </w:p>
        <w:p w14:paraId="382755DD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0" w:history="1">
            <w:r>
              <w:rPr>
                <w:rStyle w:val="Hyperlink"/>
                <w:noProof/>
              </w:rPr>
              <w:t>12. Recomendações Estratégicas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_Toc239662600 \h </w:instrText>
              <w:fldChar w:fldCharType="separate"/>
              <w:t>27</w:t>
              <w:fldChar w:fldCharType="end"/>
            </w:r>
          </w:hyperlink>
        </w:p>
        <w:p w14:paraId="5815DED1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1" w:history="1">
            <w:r>
              <w:rPr>
                <w:rStyle w:val="Hyperlink"/>
                <w:noProof/>
              </w:rPr>
              <w:t>12.1 Contratação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_Toc239662601 \h </w:instrText>
              <w:fldChar w:fldCharType="separate"/>
              <w:t>27</w:t>
              <w:fldChar w:fldCharType="end"/>
            </w:r>
          </w:hyperlink>
        </w:p>
        <w:p w14:paraId="5A11E878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2" w:history="1">
            <w:r>
              <w:rPr>
                <w:rStyle w:val="Hyperlink"/>
                <w:noProof/>
              </w:rPr>
              <w:t>12.2 Capacitação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_Toc239662602 \h </w:instrText>
              <w:fldChar w:fldCharType="separate"/>
              <w:t>27</w:t>
              <w:fldChar w:fldCharType="end"/>
            </w:r>
          </w:hyperlink>
        </w:p>
        <w:p w14:paraId="7C1016B0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3" w:history="1">
            <w:r>
              <w:rPr>
                <w:rStyle w:val="Hyperlink"/>
                <w:noProof/>
              </w:rPr>
              <w:t>12.3 Investimento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_Toc239662603 \h </w:instrText>
              <w:fldChar w:fldCharType="separate"/>
              <w:t>27</w:t>
              <w:fldChar w:fldCharType="end"/>
            </w:r>
          </w:hyperlink>
        </w:p>
        <w:p w14:paraId="104348A3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4" w:history="1">
            <w:r>
              <w:rPr>
                <w:rStyle w:val="Hyperlink"/>
                <w:noProof/>
              </w:rPr>
              <w:t>12.4 Priorização e Quick Wins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_Toc239662604 \h </w:instrText>
              <w:fldChar w:fldCharType="separate"/>
              <w:t>28</w:t>
              <w:fldChar w:fldCharType="end"/>
            </w:r>
          </w:hyperlink>
        </w:p>
        <w:p w14:paraId="004661DF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5" w:history="1">
            <w:r>
              <w:rPr>
                <w:rStyle w:val="Hyperlink"/>
                <w:noProof/>
              </w:rPr>
              <w:t>13. Riscos, Limitações e Governança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_Toc239662605 \h </w:instrText>
              <w:fldChar w:fldCharType="separate"/>
              <w:t>29</w:t>
              <w:fldChar w:fldCharType="end"/>
            </w:r>
          </w:hyperlink>
        </w:p>
        <w:p w14:paraId="27255485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6" w:history="1">
            <w:r>
              <w:rPr>
                <w:rStyle w:val="Hyperlink"/>
                <w:noProof/>
              </w:rPr>
              <w:t>13.1 Matriz de riscos do projeto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_Toc239662606 \h </w:instrText>
              <w:fldChar w:fldCharType="separate"/>
              <w:t>29</w:t>
              <w:fldChar w:fldCharType="end"/>
            </w:r>
          </w:hyperlink>
        </w:p>
        <w:p w14:paraId="5E28481C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7" w:history="1">
            <w:r>
              <w:rPr>
                <w:rStyle w:val="Hyperlink"/>
                <w:noProof/>
              </w:rPr>
              <w:t>13.2 Limitações metodológicas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_Toc239662607 \h </w:instrText>
              <w:fldChar w:fldCharType="separate"/>
              <w:t>29</w:t>
              <w:fldChar w:fldCharType="end"/>
            </w:r>
          </w:hyperlink>
        </w:p>
        <w:p w14:paraId="4A634193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8" w:history="1">
            <w:r>
              <w:rPr>
                <w:rStyle w:val="Hyperlink"/>
                <w:noProof/>
              </w:rPr>
              <w:t>13.3 Reprodutibilidade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_Toc239662608 \h </w:instrText>
              <w:fldChar w:fldCharType="separate"/>
              <w:t>30</w:t>
              <w:fldChar w:fldCharType="end"/>
            </w:r>
          </w:hyperlink>
        </w:p>
        <w:p w14:paraId="5CD7715A" w14:textId="777777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9" w:history="1">
            <w:r>
              <w:rPr>
                <w:rStyle w:val="Hyperlink"/>
                <w:noProof/>
              </w:rPr>
              <w:t>13.4 Validação cruzada das interpretações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_Toc239662609 \h </w:instrText>
              <w:fldChar w:fldCharType="separate"/>
              <w:t>30</w:t>
              <w:fldChar w:fldCharType="end"/>
            </w:r>
          </w:hyperlink>
        </w:p>
        <w:p w14:paraId="50247870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10" w:history="1">
            <w:r>
              <w:rPr>
                <w:rStyle w:val="Hyperlink"/>
                <w:noProof/>
              </w:rPr>
              <w:t>14. Conclusões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_Toc239662610 \h </w:instrText>
              <w:fldChar w:fldCharType="separate"/>
              <w:t>31</w:t>
              <w:fldChar w:fldCharType="end"/>
            </w:r>
          </w:hyperlink>
        </w:p>
        <w:p w14:paraId="222D4C5D" w14:textId="7777777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11" w:history="1">
            <w:r>
              <w:rPr>
                <w:rStyle w:val="Hyperlink"/>
                <w:noProof/>
              </w:rPr>
              <w:t>15. Referências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_Toc239662611 \h </w:instrText>
              <w:fldChar w:fldCharType="separate"/>
              <w:t>31</w:t>
              <w:fldChar w:fldCharType="end"/>
            </w:r>
          </w:hyperlink>
        </w:p>
        <w:p w14:paraId="3ED73FF0" w14:textId="77777777" w:rsidR="00662B7B" w:rsidRDefault="00E27960" w:rsidP="00E27960">
          <w:pPr>
            <w:pStyle w:val="Sumrio2"/>
          </w:pPr>
          <w:r>
            <w:fldChar w:fldCharType="end"/>
          </w:r>
        </w:p>
      </w:sdtContent>
    </w:sdt>
    <w:p w14:paraId="62BC9DD9" w14:textId="77777777" w:rsidR="00662B7B" w:rsidRDefault="00662B7B">
      <w:pPr>
        <w:rPr>
          <w:rFonts w:ascii="Arial" w:hAnsi="Arial" w:cs="Arial"/>
          <w:sz w:val="20"/>
        </w:rPr>
      </w:pPr>
    </w:p>
    <w:p w14:paraId="7900687E" w14:textId="77777777" w:rsidR="00662B7B" w:rsidRDefault="00000000">
      <w:pPr>
        <w:rPr>
          <w:rFonts w:ascii="Arial" w:hAnsi="Arial" w:cs="Arial"/>
          <w:sz w:val="20"/>
        </w:rPr>
      </w:pPr>
      <w:r>
        <w:br w:type="page"/>
      </w:r>
    </w:p>
    <w:p w14:paraId="1FB5A1BC" w14:textId="77777777" w:rsidR="00662B7B" w:rsidRDefault="00000000" w:rsidP="00587F4A">
      <w:pPr>
        <w:pStyle w:val="Ttulo2"/>
      </w:pPr>
      <w:bookmarkStart w:id="2" w:name="_Toc237938361"/>
      <w:bookmarkStart w:id="3" w:name="_Toc239662546"/>
      <w:r>
        <w:t>Índice de Figuras</w:t>
      </w:r>
      <w:bookmarkEnd w:id="2"/>
      <w:bookmarkEnd w:id="3"/>
    </w:p>
    <w:p w14:paraId="448D9816" w14:textId="2956DF60" w:rsidR="0054247D" w:rsidRDefault="00E27960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  <w:instrText xml:space="preserve"> TOC \h \z \c "Figura" </w:instrText>
        <w:fldChar w:fldCharType="separate"/>
      </w:r>
      <w:hyperlink w:anchor="_Toc239705847" w:history="1">
        <w:r>
          <w:rPr>
            <w:rStyle w:val="Hyperlink"/>
            <w:rFonts w:ascii="Arial" w:hAnsi="Arial" w:cs="Arial"/>
            <w:noProof/>
          </w:rPr>
          <w:t>Figura 1 – Arquitetura da solução AWS — fluxo Kaggle → S3 (Bronze/Silver/Gold) → Glue → Athena → consumo.</w:t>
        </w:r>
        <w:r>
          <w:rPr>
            <w:noProof/>
            <w:webHidden/>
          </w:rPr>
          <w:tab/>
          <w:fldChar w:fldCharType="begin"/>
          <w:instrText xml:space="preserve"> PAGEREF _Toc239705847 \h </w:instrText>
          <w:fldChar w:fldCharType="separate"/>
          <w:t>12</w:t>
          <w:fldChar w:fldCharType="end"/>
        </w:r>
      </w:hyperlink>
    </w:p>
    <w:p w14:paraId="071063E7" w14:textId="77295406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48" w:history="1">
        <w:r>
          <w:rPr>
            <w:rStyle w:val="Hyperlink"/>
            <w:rFonts w:ascii="Arial" w:hAnsi="Arial" w:cs="Arial"/>
            <w:noProof/>
          </w:rPr>
          <w:t>Figura 2 – Respondentes por edição da pesquisa (cinza: contexto histórico; azul: núcleo obrigatório).</w:t>
        </w:r>
        <w:r>
          <w:rPr>
            <w:noProof/>
            <w:webHidden/>
          </w:rPr>
          <w:tab/>
          <w:fldChar w:fldCharType="begin"/>
          <w:instrText xml:space="preserve"> PAGEREF _Toc239705848 \h </w:instrText>
          <w:fldChar w:fldCharType="separate"/>
          <w:t>15</w:t>
          <w:fldChar w:fldCharType="end"/>
        </w:r>
      </w:hyperlink>
    </w:p>
    <w:p w14:paraId="1AD55B94" w14:textId="3AD914DF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49" w:history="1">
        <w:r>
          <w:rPr>
            <w:rStyle w:val="Hyperlink"/>
            <w:rFonts w:ascii="Arial" w:hAnsi="Arial" w:cs="Arial"/>
            <w:noProof/>
          </w:rPr>
          <w:t>Figura 3 – Participação por grupo de cargo entre contribuidores individuais — 2025/26 (top 9).</w:t>
        </w:r>
        <w:r>
          <w:rPr>
            <w:noProof/>
            <w:webHidden/>
          </w:rPr>
          <w:tab/>
          <w:fldChar w:fldCharType="begin"/>
          <w:instrText xml:space="preserve"> PAGEREF _Toc239705849 \h </w:instrText>
          <w:fldChar w:fldCharType="separate"/>
          <w:t>15</w:t>
          <w:fldChar w:fldCharType="end"/>
        </w:r>
      </w:hyperlink>
    </w:p>
    <w:p w14:paraId="0626FB42" w14:textId="3D06C7D8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50" w:history="1">
        <w:r>
          <w:rPr>
            <w:rStyle w:val="Hyperlink"/>
            <w:rFonts w:ascii="Arial" w:hAnsi="Arial" w:cs="Arial"/>
            <w:noProof/>
          </w:rPr>
          <w:t>Figura 4 – Pirâmide de senioridade por edição (Especialista/Staff+ existe apenas em 2025/26).</w:t>
        </w:r>
        <w:r>
          <w:rPr>
            <w:noProof/>
            <w:webHidden/>
          </w:rPr>
          <w:tab/>
          <w:fldChar w:fldCharType="begin"/>
          <w:instrText xml:space="preserve"> PAGEREF _Toc239705850 \h </w:instrText>
          <w:fldChar w:fldCharType="separate"/>
          <w:t>17</w:t>
          <w:fldChar w:fldCharType="end"/>
        </w:r>
      </w:hyperlink>
    </w:p>
    <w:p w14:paraId="2081D930" w14:textId="11F70333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51" w:history="1">
        <w:r>
          <w:rPr>
            <w:rStyle w:val="Hyperlink"/>
            <w:rFonts w:ascii="Arial" w:hAnsi="Arial" w:cs="Arial"/>
            <w:noProof/>
          </w:rPr>
          <w:t>Figura 5 – Salário mediano estimado por senioridade e edição (ponto médio de faixa — premissa P3).</w:t>
        </w:r>
        <w:r>
          <w:rPr>
            <w:noProof/>
            <w:webHidden/>
          </w:rPr>
          <w:tab/>
          <w:fldChar w:fldCharType="begin"/>
          <w:instrText xml:space="preserve"> PAGEREF _Toc239705851 \h </w:instrText>
          <w:fldChar w:fldCharType="separate"/>
          <w:t>17</w:t>
          <w:fldChar w:fldCharType="end"/>
        </w:r>
      </w:hyperlink>
    </w:p>
    <w:p w14:paraId="3075C17B" w14:textId="2A30BBFA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52" w:history="1">
        <w:r>
          <w:rPr>
            <w:rStyle w:val="Hyperlink"/>
            <w:rFonts w:ascii="Arial" w:hAnsi="Arial" w:cs="Arial"/>
            <w:noProof/>
          </w:rPr>
          <w:t>Figura 6 – Salário mediano estimado por grupo de cargo — 2025/26 (grupos com n ≥ 30).</w:t>
        </w:r>
        <w:r>
          <w:rPr>
            <w:noProof/>
            <w:webHidden/>
          </w:rPr>
          <w:tab/>
          <w:fldChar w:fldCharType="begin"/>
          <w:instrText xml:space="preserve"> PAGEREF _Toc239705852 \h </w:instrText>
          <w:fldChar w:fldCharType="separate"/>
          <w:t>18</w:t>
          <w:fldChar w:fldCharType="end"/>
        </w:r>
      </w:hyperlink>
    </w:p>
    <w:p w14:paraId="308C6A9E" w14:textId="13F8240F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53" w:history="1">
        <w:r>
          <w:rPr>
            <w:rStyle w:val="Hyperlink"/>
            <w:rFonts w:ascii="Arial" w:hAnsi="Arial" w:cs="Arial"/>
            <w:noProof/>
          </w:rPr>
          <w:t>Figura 7 – Participação feminina entre os profissionais de dados — série 2019 a 2025/26.</w:t>
        </w:r>
        <w:r>
          <w:rPr>
            <w:noProof/>
            <w:webHidden/>
          </w:rPr>
          <w:tab/>
          <w:fldChar w:fldCharType="begin"/>
          <w:instrText xml:space="preserve"> PAGEREF _Toc239705853 \h </w:instrText>
          <w:fldChar w:fldCharType="separate"/>
          <w:t>19</w:t>
          <w:fldChar w:fldCharType="end"/>
        </w:r>
      </w:hyperlink>
    </w:p>
    <w:p w14:paraId="15E30E8F" w14:textId="67BB382F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54" w:history="1">
        <w:r>
          <w:rPr>
            <w:rStyle w:val="Hyperlink"/>
            <w:rFonts w:ascii="Arial" w:hAnsi="Arial" w:cs="Arial"/>
            <w:noProof/>
          </w:rPr>
          <w:t>Figura 8 – Salário mediano por gênero, controlado por senioridade — 2025/26.</w:t>
        </w:r>
        <w:r>
          <w:rPr>
            <w:noProof/>
            <w:webHidden/>
          </w:rPr>
          <w:tab/>
          <w:fldChar w:fldCharType="begin"/>
          <w:instrText xml:space="preserve"> PAGEREF _Toc239705854 \h </w:instrText>
          <w:fldChar w:fldCharType="separate"/>
          <w:t>20</w:t>
          <w:fldChar w:fldCharType="end"/>
        </w:r>
      </w:hyperlink>
    </w:p>
    <w:p w14:paraId="42B251A6" w14:textId="5C1F1A8F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55" w:history="1">
        <w:r>
          <w:rPr>
            <w:rStyle w:val="Hyperlink"/>
            <w:rFonts w:ascii="Arial" w:hAnsi="Arial" w:cs="Arial"/>
            <w:noProof/>
          </w:rPr>
          <w:t>Figura 9 – Adoção de linguagens no trabalho — série 2019 a 2025/26 (multirresposta).</w:t>
        </w:r>
        <w:r>
          <w:rPr>
            <w:noProof/>
            <w:webHidden/>
          </w:rPr>
          <w:tab/>
          <w:fldChar w:fldCharType="begin"/>
          <w:instrText xml:space="preserve"> PAGEREF _Toc239705855 \h </w:instrText>
          <w:fldChar w:fldCharType="separate"/>
          <w:t>21</w:t>
          <w:fldChar w:fldCharType="end"/>
        </w:r>
      </w:hyperlink>
    </w:p>
    <w:p w14:paraId="4DF33501" w14:textId="41C87DE3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56" w:history="1">
        <w:r>
          <w:rPr>
            <w:rStyle w:val="Hyperlink"/>
            <w:rFonts w:ascii="Arial" w:hAnsi="Arial" w:cs="Arial"/>
            <w:noProof/>
          </w:rPr>
          <w:t>Figura 10 – Adoção de provedores de cloud — série 2019 a 2025/26 (multirresposta).</w:t>
        </w:r>
        <w:r>
          <w:rPr>
            <w:noProof/>
            <w:webHidden/>
          </w:rPr>
          <w:tab/>
          <w:fldChar w:fldCharType="begin"/>
          <w:instrText xml:space="preserve"> PAGEREF _Toc239705856 \h </w:instrText>
          <w:fldChar w:fldCharType="separate"/>
          <w:t>22</w:t>
          <w:fldChar w:fldCharType="end"/>
        </w:r>
      </w:hyperlink>
    </w:p>
    <w:p w14:paraId="06455031" w14:textId="5BB284EF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57" w:history="1">
        <w:r>
          <w:rPr>
            <w:rStyle w:val="Hyperlink"/>
            <w:rFonts w:ascii="Arial" w:hAnsi="Arial" w:cs="Arial"/>
            <w:noProof/>
          </w:rPr>
          <w:t>Figura 11 – Ferramentas de BI utilizadas no dia a dia — 2025/26.</w:t>
        </w:r>
        <w:r>
          <w:rPr>
            <w:noProof/>
            <w:webHidden/>
          </w:rPr>
          <w:tab/>
          <w:fldChar w:fldCharType="begin"/>
          <w:instrText xml:space="preserve"> PAGEREF _Toc239705857 \h </w:instrText>
          <w:fldChar w:fldCharType="separate"/>
          <w:t>23</w:t>
          <w:fldChar w:fldCharType="end"/>
        </w:r>
      </w:hyperlink>
    </w:p>
    <w:p w14:paraId="2C221FB3" w14:textId="7AE19A9C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58" w:history="1">
        <w:r>
          <w:rPr>
            <w:rStyle w:val="Hyperlink"/>
            <w:rFonts w:ascii="Arial" w:hAnsi="Arial" w:cs="Arial"/>
            <w:noProof/>
          </w:rPr>
          <w:t>Figura 12 – IA generativa como prioridade da empresa — visão dos gestores, 2023 a 2025/26.</w:t>
        </w:r>
        <w:r>
          <w:rPr>
            <w:noProof/>
            <w:webHidden/>
          </w:rPr>
          <w:tab/>
          <w:fldChar w:fldCharType="begin"/>
          <w:instrText xml:space="preserve"> PAGEREF _Toc239705858 \h </w:instrText>
          <w:fldChar w:fldCharType="separate"/>
          <w:t>23</w:t>
          <w:fldChar w:fldCharType="end"/>
        </w:r>
      </w:hyperlink>
    </w:p>
    <w:p w14:paraId="3426DCD6" w14:textId="4B42E686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59" w:history="1">
        <w:r>
          <w:rPr>
            <w:rStyle w:val="Hyperlink"/>
            <w:rFonts w:ascii="Arial" w:hAnsi="Arial" w:cs="Arial"/>
            <w:noProof/>
          </w:rPr>
          <w:t>Figura 13 – Uso individual de IA generativa no trabalho — 2023 a 2025/26 (multirresposta).</w:t>
        </w:r>
        <w:r>
          <w:rPr>
            <w:noProof/>
            <w:webHidden/>
          </w:rPr>
          <w:tab/>
          <w:fldChar w:fldCharType="begin"/>
          <w:instrText xml:space="preserve"> PAGEREF _Toc239705859 \h </w:instrText>
          <w:fldChar w:fldCharType="separate"/>
          <w:t>24</w:t>
          <w:fldChar w:fldCharType="end"/>
        </w:r>
      </w:hyperlink>
    </w:p>
    <w:p w14:paraId="51F2CA2B" w14:textId="6F9D2207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60" w:history="1">
        <w:r>
          <w:rPr>
            <w:rStyle w:val="Hyperlink"/>
            <w:rFonts w:ascii="Arial" w:hAnsi="Arial" w:cs="Arial"/>
            <w:noProof/>
          </w:rPr>
          <w:t>Figura 14 – Distribuição regional e salário médio estimado por região — 2025/26.</w:t>
        </w:r>
        <w:r>
          <w:rPr>
            <w:noProof/>
            <w:webHidden/>
          </w:rPr>
          <w:tab/>
          <w:fldChar w:fldCharType="begin"/>
          <w:instrText xml:space="preserve"> PAGEREF _Toc239705860 \h </w:instrText>
          <w:fldChar w:fldCharType="separate"/>
          <w:t>25</w:t>
          <w:fldChar w:fldCharType="end"/>
        </w:r>
      </w:hyperlink>
    </w:p>
    <w:p w14:paraId="6A42B7F3" w14:textId="05E4B1D1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61" w:history="1">
        <w:r>
          <w:rPr>
            <w:rStyle w:val="Hyperlink"/>
            <w:rFonts w:ascii="Arial" w:hAnsi="Arial" w:cs="Arial"/>
            <w:noProof/>
          </w:rPr>
          <w:t>Figura 15 – Modelo de trabalho praticado versus desejado — 2025/26.</w:t>
        </w:r>
        <w:r>
          <w:rPr>
            <w:noProof/>
            <w:webHidden/>
          </w:rPr>
          <w:tab/>
          <w:fldChar w:fldCharType="begin"/>
          <w:instrText xml:space="preserve"> PAGEREF _Toc239705861 \h </w:instrText>
          <w:fldChar w:fldCharType="separate"/>
          <w:t>26</w:t>
          <w:fldChar w:fldCharType="end"/>
        </w:r>
      </w:hyperlink>
    </w:p>
    <w:p w14:paraId="1C97C770" w14:textId="0695E7CE" w:rsidR="0054247D" w:rsidRDefault="0054247D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705862" w:history="1">
        <w:r>
          <w:rPr>
            <w:rStyle w:val="Hyperlink"/>
            <w:rFonts w:ascii="Arial" w:hAnsi="Arial" w:cs="Arial"/>
            <w:noProof/>
          </w:rPr>
          <w:t>Figura 16 – Critérios decisivos na escolha de onde trabalhar — 2025/26 (multirresposta).</w:t>
        </w:r>
        <w:r>
          <w:rPr>
            <w:noProof/>
            <w:webHidden/>
          </w:rPr>
          <w:tab/>
          <w:fldChar w:fldCharType="begin"/>
          <w:instrText xml:space="preserve"> PAGEREF _Toc239705862 \h </w:instrText>
          <w:fldChar w:fldCharType="separate"/>
          <w:t>27</w:t>
          <w:fldChar w:fldCharType="end"/>
        </w:r>
      </w:hyperlink>
    </w:p>
    <w:p w14:paraId="2D0EA4D6" w14:textId="05CAC538" w:rsidR="00662B7B" w:rsidRDefault="00E27960">
      <w:pPr>
        <w:pStyle w:val="Sumrio1"/>
        <w:tabs>
          <w:tab w:val="right" w:leader="dot" w:pos="9359"/>
        </w:tabs>
      </w:pPr>
      <w:r>
        <w:fldChar w:fldCharType="end"/>
      </w:r>
    </w:p>
    <w:p w14:paraId="25D683EE" w14:textId="77777777" w:rsidR="00662B7B" w:rsidRDefault="00000000" w:rsidP="00587F4A">
      <w:pPr>
        <w:pStyle w:val="Ttulo2"/>
      </w:pPr>
      <w:bookmarkStart w:id="4" w:name="_Toc237938362"/>
      <w:bookmarkStart w:id="5" w:name="_Toc239662547"/>
      <w:r>
        <w:t>Índice de Tabelas</w:t>
      </w:r>
      <w:bookmarkEnd w:id="4"/>
      <w:bookmarkEnd w:id="5"/>
    </w:p>
    <w:sdt>
      <w:sdtPr>
        <w:id w:val="-1501968706"/>
        <w:docPartObj>
          <w:docPartGallery w:val="Table of Contents"/>
          <w:docPartUnique/>
        </w:docPartObj>
      </w:sdtPr>
      <w:sdtContent>
        <w:p w14:paraId="542FA061" w14:textId="77777777" w:rsidR="0054247D" w:rsidRDefault="00000000">
          <w:pPr>
            <w:pStyle w:val="Sumrio1"/>
            <w:tabs>
              <w:tab w:val="right" w:leader="dot" w:pos="9359"/>
            </w:tabs>
            <w:rPr>
              <w:noProof/>
            </w:rPr>
          </w:pPr>
          <w:r>
            <w:fldChar w:fldCharType="begin"/>
          </w:r>
          <w:r>
            <w:rPr>
              <w:rStyle w:val="IndexLink"/>
            </w:rPr>
            <w:instrText xml:space="preserve"> TOC \t "LegendaTabela,1" \h</w:instrText>
            <w:fldChar w:fldCharType="separate"/>
            <w:fldChar w:fldCharType="end"/>
            <w:fldChar w:fldCharType="begin"/>
            <w:instrText xml:space="preserve"> TOC \h \z \c "Tabela" </w:instrText>
            <w:fldChar w:fldCharType="separate"/>
          </w:r>
        </w:p>
        <w:p w14:paraId="42288819" w14:textId="3FA64A50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63" w:history="1">
            <w:r>
              <w:rPr>
                <w:rStyle w:val="Hyperlink"/>
                <w:rFonts w:ascii="Arial" w:hAnsi="Arial" w:cs="Arial"/>
                <w:noProof/>
              </w:rPr>
              <w:t>Tabela 1 – Da evidência à decisão (síntese executiva).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_Toc239705863 \h </w:instrText>
              <w:fldChar w:fldCharType="separate"/>
              <w:t>5</w:t>
              <w:fldChar w:fldCharType="end"/>
            </w:r>
          </w:hyperlink>
        </w:p>
        <w:p w14:paraId="27F9FF46" w14:textId="18AF5622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64" w:history="1">
            <w:r>
              <w:rPr>
                <w:rStyle w:val="Hyperlink"/>
                <w:rFonts w:ascii="Arial" w:hAnsi="Arial" w:cs="Arial"/>
                <w:noProof/>
              </w:rPr>
              <w:t>Tabela 2 – Matriz de aderência ao enunciado (Tech Challenge Fase 3).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_Toc239705864 \h </w:instrText>
              <w:fldChar w:fldCharType="separate"/>
              <w:t>6</w:t>
              <w:fldChar w:fldCharType="end"/>
            </w:r>
          </w:hyperlink>
        </w:p>
        <w:p w14:paraId="3CC2F240" w14:textId="15B99B7D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65" w:history="1">
            <w:r>
              <w:rPr>
                <w:rStyle w:val="Hyperlink"/>
                <w:rFonts w:ascii="Arial" w:hAnsi="Arial" w:cs="Arial"/>
                <w:noProof/>
              </w:rPr>
              <w:t>Tabela 3 – Bases da pesquisa State of Data Brasil utilizadas no projeto.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_Toc239705865 \h </w:instrText>
              <w:fldChar w:fldCharType="separate"/>
              <w:t>7</w:t>
              <w:fldChar w:fldCharType="end"/>
            </w:r>
          </w:hyperlink>
        </w:p>
        <w:p w14:paraId="1DD46894" w14:textId="5C790F3A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66" w:history="1">
            <w:r>
              <w:rPr>
                <w:rStyle w:val="Hyperlink"/>
                <w:rFonts w:ascii="Arial" w:hAnsi="Arial" w:cs="Arial"/>
                <w:noProof/>
              </w:rPr>
              <w:t>Tabela 4 – Exemplos do de-para de colunas entre edições (mapa completo versionado no repositório).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_Toc239705866 \h </w:instrText>
              <w:fldChar w:fldCharType="separate"/>
              <w:t>8</w:t>
              <w:fldChar w:fldCharType="end"/>
            </w:r>
          </w:hyperlink>
        </w:p>
        <w:p w14:paraId="78BCBBBF" w14:textId="5513D1F9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67" w:history="1">
            <w:r>
              <w:rPr>
                <w:rStyle w:val="Hyperlink"/>
                <w:rFonts w:ascii="Arial" w:hAnsi="Arial" w:cs="Arial"/>
                <w:noProof/>
              </w:rPr>
              <w:t>Tabela 5 – Premissas analíticas versionadas do projeto.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_Toc239705867 \h </w:instrText>
              <w:fldChar w:fldCharType="separate"/>
              <w:t>9</w:t>
              <w:fldChar w:fldCharType="end"/>
            </w:r>
          </w:hyperlink>
        </w:p>
        <w:p w14:paraId="7B7B8140" w14:textId="4D6099A6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68" w:history="1">
            <w:r>
              <w:rPr>
                <w:rStyle w:val="Hyperlink"/>
                <w:rFonts w:ascii="Arial" w:hAnsi="Arial" w:cs="Arial"/>
                <w:noProof/>
              </w:rPr>
              <w:t>Tabela 6 – Preenchimento das variáveis-chave do núcleo (n = 14.005) e origem estrutural dos nulos.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_Toc239705868 \h </w:instrText>
              <w:fldChar w:fldCharType="separate"/>
              <w:t>10</w:t>
              <w:fldChar w:fldCharType="end"/>
            </w:r>
          </w:hyperlink>
        </w:p>
        <w:p w14:paraId="4C1A5F9F" w14:textId="4B49C370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69" w:history="1">
            <w:r>
              <w:rPr>
                <w:rStyle w:val="Hyperlink"/>
                <w:rFonts w:ascii="Arial" w:hAnsi="Arial" w:cs="Arial"/>
                <w:noProof/>
              </w:rPr>
              <w:t>Tabela 7 – Camadas de dados, conteúdo e tecnologia.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_Toc239705869 \h </w:instrText>
              <w:fldChar w:fldCharType="separate"/>
              <w:t>12</w:t>
              <w:fldChar w:fldCharType="end"/>
            </w:r>
          </w:hyperlink>
        </w:p>
        <w:p w14:paraId="2AD33BD7" w14:textId="6C786331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70" w:history="1">
            <w:r>
              <w:rPr>
                <w:rStyle w:val="Hyperlink"/>
                <w:rFonts w:ascii="Arial" w:hAnsi="Arial" w:cs="Arial"/>
                <w:noProof/>
              </w:rPr>
              <w:t>Tabela 8 – Reconciliação Bronze × Silver por edição (asserções do Glue Job 1).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_Toc239705870 \h </w:instrText>
              <w:fldChar w:fldCharType="separate"/>
              <w:t>13</w:t>
              <w:fldChar w:fldCharType="end"/>
            </w:r>
          </w:hyperlink>
        </w:p>
        <w:p w14:paraId="04AB8239" w14:textId="5D07032A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71" w:history="1">
            <w:r>
              <w:rPr>
                <w:rStyle w:val="Hyperlink"/>
                <w:rFonts w:ascii="Arial" w:hAnsi="Arial" w:cs="Arial"/>
                <w:noProof/>
              </w:rPr>
              <w:t>Tabela 9 – Métricas de execução e qualidade do pipeline.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_Toc239705871 \h </w:instrText>
              <w:fldChar w:fldCharType="separate"/>
              <w:t>14</w:t>
              <w:fldChar w:fldCharType="end"/>
            </w:r>
          </w:hyperlink>
        </w:p>
        <w:p w14:paraId="42AF7363" w14:textId="3E18B2CC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72" w:history="1">
            <w:r>
              <w:rPr>
                <w:rStyle w:val="Hyperlink"/>
                <w:rFonts w:ascii="Arial" w:hAnsi="Arial" w:cs="Arial"/>
                <w:noProof/>
              </w:rPr>
              <w:t>Tabela 10 – Principais grupos de cargo — 2025/26 (contribuidores individuais, top 9).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_Toc239705872 \h </w:instrText>
              <w:fldChar w:fldCharType="separate"/>
              <w:t>15</w:t>
              <w:fldChar w:fldCharType="end"/>
            </w:r>
          </w:hyperlink>
        </w:p>
        <w:p w14:paraId="5FEA7D05" w14:textId="3508EF93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73" w:history="1">
            <w:r>
              <w:rPr>
                <w:rStyle w:val="Hyperlink"/>
                <w:rFonts w:ascii="Arial" w:hAnsi="Arial" w:cs="Arial"/>
                <w:noProof/>
              </w:rPr>
              <w:t>Tabela 11 – Salário mediano estimado (R$/mês, ponto médio) por senioridade e edição.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_Toc239705873 \h </w:instrText>
              <w:fldChar w:fldCharType="separate"/>
              <w:t>17</w:t>
              <w:fldChar w:fldCharType="end"/>
            </w:r>
          </w:hyperlink>
        </w:p>
        <w:p w14:paraId="41CB23C6" w14:textId="2E7F6426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74" w:history="1">
            <w:r>
              <w:rPr>
                <w:rStyle w:val="Hyperlink"/>
                <w:rFonts w:ascii="Arial" w:hAnsi="Arial" w:cs="Arial"/>
                <w:noProof/>
              </w:rPr>
              <w:t>Tabela 12 – Salário mediano por grupo de cargo no nível Sênior — 2025/26 (controle de composição).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_Toc239705874 \h </w:instrText>
              <w:fldChar w:fldCharType="separate"/>
              <w:t>18</w:t>
              <w:fldChar w:fldCharType="end"/>
            </w:r>
          </w:hyperlink>
        </w:p>
        <w:p w14:paraId="29283F8B" w14:textId="5B831871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75" w:history="1">
            <w:r>
              <w:rPr>
                <w:rStyle w:val="Hyperlink"/>
                <w:rFonts w:ascii="Arial" w:hAnsi="Arial" w:cs="Arial"/>
                <w:noProof/>
              </w:rPr>
              <w:t>Tabela 13 – Mediana salarial estimada por gênero e nível — 2025/26.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_Toc239705875 \h </w:instrText>
              <w:fldChar w:fldCharType="separate"/>
              <w:t>20</w:t>
              <w:fldChar w:fldCharType="end"/>
            </w:r>
          </w:hyperlink>
        </w:p>
        <w:p w14:paraId="081A7E75" w14:textId="6C36B269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76" w:history="1">
            <w:r>
              <w:rPr>
                <w:rStyle w:val="Hyperlink"/>
                <w:rFonts w:ascii="Arial" w:hAnsi="Arial" w:cs="Arial"/>
                <w:noProof/>
              </w:rPr>
              <w:t>Tabela 14 – Prioridade de IA generativa (% dos gestores respondentes).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_Toc239705876 \h </w:instrText>
              <w:fldChar w:fldCharType="separate"/>
              <w:t>24</w:t>
              <w:fldChar w:fldCharType="end"/>
            </w:r>
          </w:hyperlink>
        </w:p>
        <w:p w14:paraId="7B720280" w14:textId="5C8F4FF1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77" w:history="1">
            <w:r>
              <w:rPr>
                <w:rStyle w:val="Hyperlink"/>
                <w:rFonts w:ascii="Arial" w:hAnsi="Arial" w:cs="Arial"/>
                <w:noProof/>
              </w:rPr>
              <w:t>Tabela 15 – Uso individual de GenAI (% sobre respondentes válidos).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_Toc239705877 \h </w:instrText>
              <w:fldChar w:fldCharType="separate"/>
              <w:t>25</w:t>
              <w:fldChar w:fldCharType="end"/>
            </w:r>
          </w:hyperlink>
        </w:p>
        <w:p w14:paraId="5FD6EAF3" w14:textId="2F2A84AD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78" w:history="1">
            <w:r>
              <w:rPr>
                <w:rStyle w:val="Hyperlink"/>
                <w:rFonts w:ascii="Arial" w:hAnsi="Arial" w:cs="Arial"/>
                <w:noProof/>
              </w:rPr>
              <w:t>Tabela 16 – Termômetro do mercado por edição.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_Toc239705878 \h </w:instrText>
              <w:fldChar w:fldCharType="separate"/>
              <w:t>26</w:t>
              <w:fldChar w:fldCharType="end"/>
            </w:r>
          </w:hyperlink>
        </w:p>
        <w:p w14:paraId="53004F42" w14:textId="2179AEFC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79" w:history="1">
            <w:r>
              <w:rPr>
                <w:rStyle w:val="Hyperlink"/>
                <w:rFonts w:ascii="Arial" w:hAnsi="Arial" w:cs="Arial"/>
                <w:noProof/>
              </w:rPr>
              <w:t>Tabela 17 – Principais desafios dos gestores de dados — 2025/26.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_Toc239705879 \h </w:instrText>
              <w:fldChar w:fldCharType="separate"/>
              <w:t>27</w:t>
              <w:fldChar w:fldCharType="end"/>
            </w:r>
          </w:hyperlink>
        </w:p>
        <w:p w14:paraId="4DED6ECB" w14:textId="6B8F2F74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80" w:history="1">
            <w:r>
              <w:rPr>
                <w:rStyle w:val="Hyperlink"/>
                <w:rFonts w:ascii="Arial" w:hAnsi="Arial" w:cs="Arial"/>
                <w:noProof/>
              </w:rPr>
              <w:t>Tabela 18 – Matriz-síntese de oportunidades e desafios para a instituição financeira.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_Toc239705880 \h </w:instrText>
              <w:fldChar w:fldCharType="separate"/>
              <w:t>28</w:t>
              <w:fldChar w:fldCharType="end"/>
            </w:r>
          </w:hyperlink>
        </w:p>
        <w:p w14:paraId="28C03717" w14:textId="320ADFED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81" w:history="1">
            <w:r>
              <w:rPr>
                <w:rStyle w:val="Hyperlink"/>
                <w:rFonts w:ascii="Arial" w:hAnsi="Arial" w:cs="Arial"/>
                <w:noProof/>
              </w:rPr>
              <w:t>Tabela 19 – Priorização das recomendações.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_Toc239705881 \h </w:instrText>
              <w:fldChar w:fldCharType="separate"/>
              <w:t>29</w:t>
              <w:fldChar w:fldCharType="end"/>
            </w:r>
          </w:hyperlink>
        </w:p>
        <w:p w14:paraId="710E42EC" w14:textId="5A35BA72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82" w:history="1">
            <w:r>
              <w:rPr>
                <w:rStyle w:val="Hyperlink"/>
                <w:rFonts w:ascii="Arial" w:hAnsi="Arial" w:cs="Arial"/>
                <w:noProof/>
              </w:rPr>
              <w:t>Tabela 20 – Riscos, impacto e mitigação.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_Toc239705882 \h </w:instrText>
              <w:fldChar w:fldCharType="separate"/>
              <w:t>30</w:t>
              <w:fldChar w:fldCharType="end"/>
            </w:r>
          </w:hyperlink>
        </w:p>
        <w:p w14:paraId="4B2A4235" w14:textId="2E6104B6" w:rsidR="0054247D" w:rsidRDefault="0054247D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705883" w:history="1">
            <w:r>
              <w:rPr>
                <w:rStyle w:val="Hyperlink"/>
                <w:rFonts w:ascii="Arial" w:hAnsi="Arial" w:cs="Arial"/>
                <w:noProof/>
              </w:rPr>
              <w:t>Tabela 21 – Hipóteses testadas, resultado da verificação e decisão adotada.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_Toc239705883 \h </w:instrText>
              <w:fldChar w:fldCharType="separate"/>
              <w:t>31</w:t>
              <w:fldChar w:fldCharType="end"/>
            </w:r>
          </w:hyperlink>
        </w:p>
        <w:p w14:paraId="02864B06" w14:textId="77777777" w:rsidR="00662B7B" w:rsidRDefault="006B148A">
          <w:pPr>
            <w:pStyle w:val="Sumrio1"/>
            <w:tabs>
              <w:tab w:val="right" w:leader="dot" w:pos="9359"/>
            </w:tabs>
          </w:pPr>
          <w:r>
            <w:rPr>
              <w:rStyle w:val="IndexLink"/>
            </w:rPr>
            <w:fldChar w:fldCharType="end"/>
          </w:r>
        </w:p>
      </w:sdtContent>
    </w:sdt>
    <w:p w14:paraId="74F8C519" w14:textId="77777777" w:rsidR="00662B7B" w:rsidRDefault="00000000" w:rsidP="00587F4A">
      <w:pPr>
        <w:pStyle w:val="Ttulo2"/>
      </w:pPr>
      <w:r>
        <w:br w:type="page"/>
      </w:r>
      <w:bookmarkStart w:id="6" w:name="_Toc237938363"/>
      <w:bookmarkStart w:id="7" w:name="_Toc239662548"/>
      <w:r>
        <w:t>Resumo Executivo</w:t>
      </w:r>
      <w:bookmarkEnd w:id="6"/>
      <w:bookmarkEnd w:id="7"/>
    </w:p>
    <w:p w14:paraId="06AE3877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Este relatório apresenta a arquitetura, o pipeline de dados e as conclusões analíticas de um projeto de Big Data &amp; Analytics construído sobre a pesquisa </w:t>
      </w:r>
      <w:r>
        <w:rPr>
          <w:rFonts w:ascii="Arial" w:hAnsi="Arial" w:cs="Arial"/>
          <w:i/>
          <w:iCs/>
          <w:color w:val="000000"/>
          <w:sz w:val="20"/>
        </w:rPr>
        <w:t>State of Data Brasil</w:t>
      </w:r>
      <w:r>
        <w:rPr>
          <w:rFonts w:ascii="Arial" w:hAnsi="Arial" w:cs="Arial"/>
          <w:color w:val="000000"/>
          <w:sz w:val="20"/>
        </w:rPr>
        <w:t xml:space="preserve"> (Data Hackers/Bain, Kaggle), a serviço de uma instituição financeira de grande porte que pretende expandir sua área de Dados, Analytics e Inteligência Artificial. Foram processadas as três últimas edições da pesquisa (2023, 2024 e 2025/26) como núcleo obrigatório e as edições 2019, 2021 e 2022 como contexto histórico — </w:t>
      </w:r>
      <w:r>
        <w:rPr>
          <w:rFonts w:ascii="Arial" w:hAnsi="Arial" w:cs="Arial"/>
          <w:b/>
          <w:bCs/>
          <w:color w:val="000000"/>
          <w:sz w:val="20"/>
        </w:rPr>
        <w:t>22.686 respostas no total</w:t>
      </w:r>
      <w:r>
        <w:rPr>
          <w:rFonts w:ascii="Arial" w:hAnsi="Arial" w:cs="Arial"/>
          <w:color w:val="000000"/>
          <w:sz w:val="20"/>
        </w:rPr>
        <w:t xml:space="preserve"> — em um pipeline AWS no padrão Medallion (S3 Bronze/Silver/Gold, Glue Jobs em PySpark, Glue Data Catalog e Athena).</w:t>
      </w:r>
    </w:p>
    <w:p w14:paraId="64B8D251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Os resultados desenham um mercado em consolidação técnica e em aceleração de IA. Python atingiu </w:t>
      </w:r>
      <w:r>
        <w:rPr>
          <w:rFonts w:ascii="Arial" w:hAnsi="Arial" w:cs="Arial"/>
          <w:b/>
          <w:bCs/>
          <w:color w:val="000000"/>
          <w:sz w:val="20"/>
        </w:rPr>
        <w:t>92,0%</w:t>
      </w:r>
      <w:r>
        <w:rPr>
          <w:rFonts w:ascii="Arial" w:hAnsi="Arial" w:cs="Arial"/>
          <w:color w:val="000000"/>
          <w:sz w:val="20"/>
        </w:rPr>
        <w:t xml:space="preserve"> de adoção (era 44,4% em 2019) e SQL, </w:t>
      </w:r>
      <w:r>
        <w:rPr>
          <w:rFonts w:ascii="Arial" w:hAnsi="Arial" w:cs="Arial"/>
          <w:b/>
          <w:bCs/>
          <w:color w:val="000000"/>
          <w:sz w:val="20"/>
        </w:rPr>
        <w:t>84,2%</w:t>
      </w:r>
      <w:r>
        <w:rPr>
          <w:rFonts w:ascii="Arial" w:hAnsi="Arial" w:cs="Arial"/>
          <w:color w:val="000000"/>
          <w:sz w:val="20"/>
        </w:rPr>
        <w:t xml:space="preserve">, formando o núcleo técnico inegociável. A AWS lidera a corrida de cloud com </w:t>
      </w:r>
      <w:r>
        <w:rPr>
          <w:rFonts w:ascii="Arial" w:hAnsi="Arial" w:cs="Arial"/>
          <w:b/>
          <w:bCs/>
          <w:color w:val="000000"/>
          <w:sz w:val="20"/>
        </w:rPr>
        <w:t>48,3%</w:t>
      </w:r>
      <w:r>
        <w:rPr>
          <w:rFonts w:ascii="Arial" w:hAnsi="Arial" w:cs="Arial"/>
          <w:color w:val="000000"/>
          <w:sz w:val="20"/>
        </w:rPr>
        <w:t xml:space="preserve"> (Azure 34,8%, GCP 30,9%). Entre gestores, IA generativa como prioridade máxima ou entre as principais saltou de </w:t>
      </w:r>
      <w:r>
        <w:rPr>
          <w:rFonts w:ascii="Arial" w:hAnsi="Arial" w:cs="Arial"/>
          <w:b/>
          <w:bCs/>
          <w:color w:val="000000"/>
          <w:sz w:val="20"/>
        </w:rPr>
        <w:t>36,2% em 2023 para 60,6% em 2025/26</w:t>
      </w:r>
      <w:r>
        <w:rPr>
          <w:rFonts w:ascii="Arial" w:hAnsi="Arial" w:cs="Arial"/>
          <w:color w:val="000000"/>
          <w:sz w:val="20"/>
        </w:rPr>
        <w:t xml:space="preserve">, enquanto "não é prioridade" caiu de 28,8% para 11,3%. No uso individual, a modalidade "empresa paga a solução de GenAI" saltou de </w:t>
      </w:r>
      <w:r>
        <w:rPr>
          <w:rFonts w:ascii="Arial" w:hAnsi="Arial" w:cs="Arial"/>
          <w:b/>
          <w:bCs/>
          <w:color w:val="000000"/>
          <w:sz w:val="20"/>
        </w:rPr>
        <w:t>6,4% para 42,4%</w:t>
      </w:r>
      <w:r>
        <w:rPr>
          <w:rFonts w:ascii="Arial" w:hAnsi="Arial" w:cs="Arial"/>
          <w:color w:val="000000"/>
          <w:sz w:val="20"/>
        </w:rPr>
        <w:t xml:space="preserve"> — a IA deixou de ser iniciativa pessoal e virou política corporativa.</w:t>
      </w:r>
    </w:p>
    <w:p w14:paraId="21696A42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Nos recortes de talento, a escada salarial mediana estimada em 2025/26 vai de </w:t>
      </w:r>
      <w:r>
        <w:rPr>
          <w:rFonts w:ascii="Arial" w:hAnsi="Arial" w:cs="Arial"/>
          <w:b/>
          <w:bCs/>
          <w:color w:val="000000"/>
          <w:sz w:val="20"/>
        </w:rPr>
        <w:t>R$ 3.501 (Júnior) a R$ 18.001 (Especialista/Staff+)</w:t>
      </w:r>
      <w:r>
        <w:rPr>
          <w:rFonts w:ascii="Arial" w:hAnsi="Arial" w:cs="Arial"/>
          <w:color w:val="000000"/>
          <w:sz w:val="20"/>
        </w:rPr>
        <w:t xml:space="preserve">. A participação feminina segue baixa (22,0% em 2025/26, após pico de 24,8% em 2022) e o gap salarial concentra-se no nível Sênior </w:t>
      </w:r>
      <w:r>
        <w:rPr>
          <w:rFonts w:ascii="Arial" w:hAnsi="Arial" w:cs="Arial"/>
          <w:b/>
          <w:bCs/>
          <w:color w:val="000000"/>
          <w:sz w:val="20"/>
        </w:rPr>
        <w:t>(−28,6% na mediana)</w:t>
      </w:r>
      <w:r>
        <w:rPr>
          <w:rFonts w:ascii="Arial" w:hAnsi="Arial" w:cs="Arial"/>
          <w:color w:val="000000"/>
          <w:sz w:val="20"/>
        </w:rPr>
        <w:t>. O modelo de trabalho é fator crítico de atração: apenas 1,9% desejam regime 100% presencial. As recomendações finais — contratação, capacitação e investimento — derivam diretamente desses números.</w:t>
      </w:r>
    </w:p>
    <w:p w14:paraId="641E30FA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Tabela 1 sintetiza a conversão direta de evidência em decisão — o mapa mínimo para o comitê executivo:</w:t>
      </w:r>
    </w:p>
    <w:p w14:paraId="7549E034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8" w:name="__RefHeading___Toc2849_1907726246"/>
      <w:bookmarkStart w:id="9" w:name="_Toc239705863"/>
      <w:bookmarkEnd w:id="8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fldChar w:fldCharType="end"/>
        <w:t xml:space="preserve"> – Da evidência à decisão (síntese executiva).</w:t>
      </w:r>
      <w:bookmarkEnd w:id="9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4681"/>
        <w:gridCol w:w="4679"/>
      </w:tblGrid>
      <w:tr w:rsidR="00662B7B" w14:paraId="62EFCC22" w14:textId="77777777">
        <w:trPr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2E2B0E9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Evidência (2025/26)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4DCBA9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Decisão recomendada</w:t>
            </w:r>
          </w:p>
        </w:tc>
      </w:tr>
      <w:tr w:rsidR="00662B7B" w14:paraId="401E0125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772FE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Python 92,0% e SQL 84,2% de adoção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75C54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Trilha-base obrigatória Python + SQL</w:t>
            </w:r>
          </w:p>
        </w:tc>
      </w:tr>
      <w:tr w:rsidR="00662B7B" w14:paraId="680FB04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A1EC5CD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AWS lidera cloud com 48,3%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9972FB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Priorizar stack e certificações AWS</w:t>
            </w:r>
          </w:p>
        </w:tc>
      </w:tr>
      <w:tr w:rsidR="00662B7B" w14:paraId="0238FA45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EA008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IA como prioridade top-2: 36,2% → 60,6%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236DD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Acelerar programa de GenAI com governança</w:t>
            </w:r>
          </w:p>
        </w:tc>
      </w:tr>
      <w:tr w:rsidR="00662B7B" w14:paraId="39AC6519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E5C89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GenAI paga pela empresa: 6,4% → 42,4%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4DF49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Licenciamento corporativo + política de uso</w:t>
            </w:r>
          </w:p>
        </w:tc>
      </w:tr>
      <w:tr w:rsidR="00662B7B" w14:paraId="71DBDED2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AF44A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Gap salarial de −28,6% no nível Sênior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EA7D7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Metas de diversidade na promoção, não só na entrada</w:t>
            </w:r>
          </w:p>
        </w:tc>
      </w:tr>
      <w:tr w:rsidR="00662B7B" w14:paraId="595E6909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001F0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Apenas 1,9% desejam modelo 100% presencial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B2B88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Política declarada de flexibilidade (EVP)</w:t>
            </w:r>
          </w:p>
        </w:tc>
      </w:tr>
    </w:tbl>
    <w:p w14:paraId="15F0757C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44D7C926" w14:textId="77777777" w:rsidR="00662B7B" w:rsidRDefault="00000000" w:rsidP="00587F4A">
      <w:pPr>
        <w:pStyle w:val="Ttulo2"/>
      </w:pPr>
      <w:bookmarkStart w:id="10" w:name="_Toc237938364"/>
      <w:bookmarkStart w:id="11" w:name="_Toc239662549"/>
      <w:r>
        <w:t>Artefatos e Links do Projeto</w:t>
      </w:r>
      <w:bookmarkEnd w:id="10"/>
      <w:bookmarkEnd w:id="11"/>
    </w:p>
    <w:p w14:paraId="254C8C00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Os artefatos avaliáveis deste projeto estão relacionados abaixo.</w:t>
      </w:r>
    </w:p>
    <w:p w14:paraId="04A3A3A3" w14:textId="77777777" w:rsidR="00662B7B" w:rsidRDefault="00000000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Repositório GitHub: </w:t>
      </w:r>
      <w:hyperlink r:id="rId8" w:history="1">
        <w:r>
          <w:rPr>
            <w:rStyle w:val="Hyperlink"/>
            <w:rFonts w:ascii="Arial" w:hAnsi="Arial" w:cs="Arial"/>
          </w:rPr>
          <w:t>https://github.com/lgmricardo/Techchallenge3-G12</w:t>
        </w:r>
      </w:hyperlink>
    </w:p>
    <w:p w14:paraId="14C94A35" w14:textId="77777777" w:rsidR="00662B7B" w:rsidRDefault="00000000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Pacote técnico (zip): notebooks 01–05 executados, Glue Jobs, config (de-para + premissas), gráficos e camada Gold em CSV.</w:t>
      </w:r>
    </w:p>
    <w:p w14:paraId="09308A41" w14:textId="77777777" w:rsidR="00662B7B" w:rsidRDefault="00000000">
      <w:pPr>
        <w:pStyle w:val="PargrafodaLista"/>
        <w:numPr>
          <w:ilvl w:val="0"/>
          <w:numId w:val="3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Diagrama de arquitetura: architecture/aws_architecture.drawio (editável) e Figura 1 deste relatório.</w:t>
      </w:r>
    </w:p>
    <w:p w14:paraId="26349F87" w14:textId="77777777" w:rsidR="00662B7B" w:rsidRDefault="00000000">
      <w:pPr>
        <w:pStyle w:val="PargrafodaLista"/>
        <w:numPr>
          <w:ilvl w:val="0"/>
          <w:numId w:val="4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Guia operacional AWS: docs/aws_step_by_step_guide.md (do acesso ao Learner Lab às evidências E01–E08).</w:t>
      </w:r>
    </w:p>
    <w:p w14:paraId="4BD8D58F" w14:textId="77777777" w:rsidR="00662B7B" w:rsidRDefault="00000000">
      <w:pPr>
        <w:pStyle w:val="PargrafodaLista"/>
        <w:numPr>
          <w:ilvl w:val="0"/>
          <w:numId w:val="5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Evidências de execução na AWS: pasta evidence do repositório (prints E01–E08 do console).</w:t>
      </w:r>
      <w:r>
        <w:br w:type="page"/>
      </w:r>
    </w:p>
    <w:p w14:paraId="5885AEC8" w14:textId="77777777" w:rsidR="007D7E47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Nota sobre caminhos citados: os caminhos de arquivo mencionados ao longo deste relatório (por exemplo, src/, architecture/, datalake/, consumption/) referem-se à estrutura do repositório GitHub listado acima. No pacote técnico (zip) que acompanha esta entrega, os mesmos arquivos estão organizados nas pastas 1_material_executivo/, 2_diagrama_arquitetura/ e 3_scripts_e_codigos/, descritas nesta lista.</w:t>
      </w:r>
    </w:p>
    <w:p w14:paraId="1B8F14B6" w14:textId="77777777" w:rsidR="00D547F3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Tabela 2 mapeia cada requisito técnico do enunciado à sua implementação e evidência correspondente neste projeto:</w:t>
      </w:r>
    </w:p>
    <w:p w14:paraId="5B1A4CBA" w14:textId="77777777" w:rsidR="00D547F3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2" w:name="_Toc990000001"/>
      <w:bookmarkStart w:id="13" w:name="_Toc239705864"/>
      <w:bookmarkEnd w:id="12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fldChar w:fldCharType="end"/>
        <w:t xml:space="preserve"> – Matriz de aderência ao enunciado (Tech Challenge Fase 3).</w:t>
      </w:r>
      <w:bookmarkEnd w:id="13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3000"/>
      </w:tblGrid>
      <w:tr w:rsidR="00D547F3" w14:paraId="0972B055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AFE67C5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</w:rPr>
              <w:t>Requisito do enunciado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2CDFAF22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</w:rPr>
              <w:t>Onde está implementado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C4E7888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</w:rPr>
              <w:t>Evidência</w:t>
            </w:r>
          </w:p>
        </w:tc>
      </w:tr>
      <w:tr w:rsidR="00D547F3" w14:paraId="68A9142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E365D4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3 últimas pesquisas (2023, 2024, 2025/26)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62B4B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Núcleo obrigatório do pipeline; edições 2019–2022 usadas só em séries longas de contexto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779557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01; Seção 2.1 deste relatório</w:t>
            </w:r>
          </w:p>
        </w:tc>
      </w:tr>
      <w:tr w:rsidR="00D547F3" w14:paraId="7A4B794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77FFEE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AWS Academy Lab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A2116C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S3 (Bronze/Silver/Gold) + 2 Glue Jobs + Glue Data Catalog + Athena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832C69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Evidências E01–E08</w:t>
            </w:r>
          </w:p>
        </w:tc>
      </w:tr>
      <w:tr w:rsidR="00D547F3" w14:paraId="31ED41A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77ACE6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Diagrama em Draw.io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30B7D0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Diagrama editável, incluído no material executivo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08929C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architecture/aws_architecture.drawio (repositório); Figura 1</w:t>
            </w:r>
          </w:p>
        </w:tc>
      </w:tr>
      <w:tr w:rsidR="00D547F3" w14:paraId="779CDA7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FCEC2C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Ingestão / camada Bronze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FD56E3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6 CSVs brutos, partição ano=YYYY, imutável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B0287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01; evidência E03</w:t>
            </w:r>
          </w:p>
        </w:tc>
      </w:tr>
      <w:tr w:rsidR="00D547F3" w14:paraId="53BCB7A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7728BB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Tratamento / camada Silver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626BAC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De-para versionado, harmonização de schema em PySpark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C961E1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02; evidência E06a</w:t>
            </w:r>
          </w:p>
        </w:tc>
      </w:tr>
      <w:tr w:rsidR="00D547F3" w14:paraId="04D5129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DE3D04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Transformação / camada Gold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D77089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21 tabelas analíticas orientadas às 7 perguntas de negócio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050672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03; evidência E06b</w:t>
            </w:r>
          </w:p>
        </w:tc>
      </w:tr>
      <w:tr w:rsidR="00D547F3" w14:paraId="0481C13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37EAA5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Catalogação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31C56F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Glue Data Catalog, banco stateofdata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701927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04 (DDL/Crawler); evidência E07</w:t>
            </w:r>
          </w:p>
        </w:tc>
      </w:tr>
      <w:tr w:rsidR="00D547F3" w14:paraId="1838D96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DF135C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Consultas analíticas (Athena)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F66DDE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7 consultas SQL, uma por pergunta de negócio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E18F06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04; evidência E08 (q1–q7)</w:t>
            </w:r>
          </w:p>
        </w:tc>
      </w:tr>
      <w:tr w:rsidR="00D547F3" w14:paraId="186AC97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F9C63F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Spark / PySpark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3739B4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Todo o processamento das camadas Bronze → Silver → Gold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AD678F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Notebooks 02–04; jobs/*.py</w:t>
            </w:r>
          </w:p>
        </w:tc>
      </w:tr>
      <w:tr w:rsidR="00D547F3" w14:paraId="03FE746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C0B9DE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Gráficos (DataViz)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76459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15 gráficos com fonte, edição e n declarados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C176FB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05; G01–G15</w:t>
            </w:r>
          </w:p>
        </w:tc>
      </w:tr>
      <w:tr w:rsidR="00D547F3" w14:paraId="442DA23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C502AA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Storytelling / material executivo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40CC6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Deck com narrativa, indicadores e recomendações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6AD9AD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executive_deck.pptx</w:t>
            </w:r>
          </w:p>
        </w:tc>
      </w:tr>
      <w:tr w:rsidR="00D547F3" w14:paraId="31DD6A7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B4955C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Recomendações estratégicas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D2B68D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8 ações priorizadas com evidência associada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207AD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Slide de recomendações do material executivo</w:t>
            </w:r>
          </w:p>
        </w:tc>
      </w:tr>
    </w:tbl>
    <w:p w14:paraId="164B13CE" w14:textId="77777777" w:rsidR="00662B7B" w:rsidRDefault="00000000" w:rsidP="00587F4A">
      <w:pPr>
        <w:pStyle w:val="Ttulo2"/>
      </w:pPr>
      <w:bookmarkStart w:id="14" w:name="_Toc237938365"/>
      <w:bookmarkStart w:id="15" w:name="_Toc239662550"/>
      <w:r>
        <w:t>1. Compreensão do Problema</w:t>
      </w:r>
      <w:bookmarkEnd w:id="14"/>
      <w:bookmarkEnd w:id="15"/>
    </w:p>
    <w:p w14:paraId="594389DF" w14:textId="77777777" w:rsidR="00662B7B" w:rsidRDefault="00000000" w:rsidP="00587F4A">
      <w:pPr>
        <w:pStyle w:val="Ttulo3"/>
      </w:pPr>
      <w:bookmarkStart w:id="16" w:name="_Toc237938366"/>
      <w:bookmarkStart w:id="17" w:name="_Toc239662551"/>
      <w:r>
        <w:t>1.1 Contexto e motivação</w:t>
      </w:r>
      <w:bookmarkEnd w:id="16"/>
      <w:bookmarkEnd w:id="17"/>
    </w:p>
    <w:p w14:paraId="0F0D0728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Uma instituição financeira de grande porte pretende expandir sua área de Dados, Analytics e IA e precisa de um retrato confiável do mercado brasileiro para calibrar três decisões: </w:t>
      </w:r>
      <w:r>
        <w:rPr>
          <w:rFonts w:ascii="Arial" w:hAnsi="Arial" w:cs="Arial"/>
          <w:b/>
          <w:bCs/>
          <w:color w:val="000000"/>
          <w:sz w:val="20"/>
        </w:rPr>
        <w:t>quem contratar, o que capacitar e onde investir</w:t>
      </w:r>
      <w:r>
        <w:rPr>
          <w:rFonts w:ascii="Arial" w:hAnsi="Arial" w:cs="Arial"/>
          <w:color w:val="000000"/>
          <w:sz w:val="20"/>
        </w:rPr>
        <w:t>. A pesquisa State of Data Brasil, conduzida pela comunidade Data Hackers em parceria com a Bain &amp; Company, é a fonte pública mais completa sobre o perfil desses profissionais — e suas bases brutas exigem um fluxo real de engenharia de dados antes de gerar informação de negócio, o que este projeto implementa de ponta a ponta em ambiente AWS.</w:t>
      </w:r>
    </w:p>
    <w:p w14:paraId="01D84687" w14:textId="77777777" w:rsidR="00662B7B" w:rsidRDefault="00000000" w:rsidP="00587F4A">
      <w:pPr>
        <w:pStyle w:val="Ttulo3"/>
      </w:pPr>
      <w:bookmarkStart w:id="18" w:name="_Toc237938367"/>
      <w:bookmarkStart w:id="19" w:name="_Toc239662552"/>
      <w:r>
        <w:t>1.2 Pergunta norteadora e desdobramentos</w:t>
      </w:r>
      <w:bookmarkEnd w:id="18"/>
      <w:bookmarkEnd w:id="19"/>
    </w:p>
    <w:p w14:paraId="611656F9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i/>
          <w:iCs/>
          <w:color w:val="000000"/>
          <w:sz w:val="20"/>
        </w:rPr>
        <w:t>Como a evolução do mercado brasileiro de dados (perfil profissional, senioridade, remuneração, diversidade, tecnologias e adoção de IA), observada nas três últimas edições da pesquisa State of Data Brasil, deve orientar as estratégias de contratação, capacitação e investimento de uma instituição financeira de grande porte?</w:t>
      </w:r>
    </w:p>
    <w:p w14:paraId="31137590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pergunta desdobra-se nas sete questões do enunciado, respondidas nas seções 5 a 11:</w:t>
      </w:r>
    </w:p>
    <w:p w14:paraId="5291DD65" w14:textId="77777777" w:rsidR="00662B7B" w:rsidRDefault="00000000">
      <w:pPr>
        <w:pStyle w:val="PargrafodaLista"/>
        <w:numPr>
          <w:ilvl w:val="0"/>
          <w:numId w:val="6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1. Como está estruturado o mercado brasileiro de Dados? (Seção 5)</w:t>
      </w:r>
    </w:p>
    <w:p w14:paraId="40E73B7E" w14:textId="77777777" w:rsidR="00662B7B" w:rsidRDefault="00000000">
      <w:pPr>
        <w:pStyle w:val="PargrafodaLista"/>
        <w:numPr>
          <w:ilvl w:val="0"/>
          <w:numId w:val="7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2. Quais perfis profissionais são mais valorizados? (Seção 6)</w:t>
      </w:r>
    </w:p>
    <w:p w14:paraId="01E21569" w14:textId="77777777" w:rsidR="00662B7B" w:rsidRDefault="00000000">
      <w:pPr>
        <w:pStyle w:val="PargrafodaLista"/>
        <w:numPr>
          <w:ilvl w:val="0"/>
          <w:numId w:val="8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3. Qual é o cenário de diversidade de gênero? (Seção 7)</w:t>
      </w:r>
    </w:p>
    <w:p w14:paraId="595C1F4E" w14:textId="77777777" w:rsidR="00662B7B" w:rsidRDefault="00000000">
      <w:pPr>
        <w:pStyle w:val="PargrafodaLista"/>
        <w:numPr>
          <w:ilvl w:val="0"/>
          <w:numId w:val="9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4. Quais tecnologias apresentam maior adoção? (Seção 8)</w:t>
      </w:r>
    </w:p>
    <w:p w14:paraId="3E29DC17" w14:textId="77777777" w:rsidR="00662B7B" w:rsidRDefault="00000000">
      <w:pPr>
        <w:pStyle w:val="PargrafodaLista"/>
        <w:numPr>
          <w:ilvl w:val="0"/>
          <w:numId w:val="10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5. Qual é o índice de adoção de IA e seu impacto? (Seção 9)</w:t>
      </w:r>
    </w:p>
    <w:p w14:paraId="66ED2649" w14:textId="77777777" w:rsidR="00662B7B" w:rsidRDefault="00000000">
      <w:pPr>
        <w:pStyle w:val="PargrafodaLista"/>
        <w:numPr>
          <w:ilvl w:val="0"/>
          <w:numId w:val="11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6. Existem diferenças entre regiões, senioridades e modelos de trabalho? (Seções 6, 7 e 10)</w:t>
      </w:r>
    </w:p>
    <w:p w14:paraId="32E2A6BF" w14:textId="77777777" w:rsidR="00662B7B" w:rsidRDefault="00000000">
      <w:pPr>
        <w:pStyle w:val="PargrafodaLista"/>
        <w:numPr>
          <w:ilvl w:val="0"/>
          <w:numId w:val="12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7. Quais oportunidades e desafios para quem investe em Dados e IA? (Seção 11)</w:t>
      </w:r>
    </w:p>
    <w:p w14:paraId="3C23BA44" w14:textId="77777777" w:rsidR="00662B7B" w:rsidRDefault="00000000" w:rsidP="00587F4A">
      <w:pPr>
        <w:pStyle w:val="Ttulo3"/>
      </w:pPr>
      <w:bookmarkStart w:id="20" w:name="_Toc237938368"/>
      <w:bookmarkStart w:id="21" w:name="_Toc239662553"/>
      <w:r>
        <w:t>1.3 Visão geral da metodologia</w:t>
      </w:r>
      <w:bookmarkEnd w:id="20"/>
      <w:bookmarkEnd w:id="21"/>
    </w:p>
    <w:p w14:paraId="41AD841E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O método segue quatro etapas: (i) ingestão das seis edições no S3 (camada Bronze, imutável); (ii) harmonização de esquemas e categorias em PySpark, com de-para versionado e premissas registradas (Silver); (iii) agregações analíticas por tema (Gold, 21 tabelas); e (iv) consultas SQL no Athena e geração de gráficos sobre agregados. Todas as proporções de questões multirresposta usam como denominador os </w:t>
      </w:r>
      <w:r>
        <w:rPr>
          <w:rFonts w:ascii="Arial" w:hAnsi="Arial" w:cs="Arial"/>
          <w:b/>
          <w:bCs/>
          <w:color w:val="000000"/>
          <w:sz w:val="20"/>
        </w:rPr>
        <w:t>respondentes válidos de cada questão</w:t>
      </w:r>
      <w:r>
        <w:rPr>
          <w:rFonts w:ascii="Arial" w:hAnsi="Arial" w:cs="Arial"/>
          <w:color w:val="000000"/>
          <w:sz w:val="20"/>
        </w:rPr>
        <w:t>, e comparações entre edições ocorrem somente após a harmonização — evitando conclusões espúrias por mudança de questionário.</w:t>
      </w:r>
      <w:bookmarkStart w:id="22" w:name="_Toc237938369"/>
    </w:p>
    <w:p w14:paraId="38B23C54" w14:textId="77777777" w:rsidR="00662B7B" w:rsidRDefault="00000000" w:rsidP="00587F4A">
      <w:pPr>
        <w:pStyle w:val="Ttulo2"/>
      </w:pPr>
      <w:bookmarkStart w:id="23" w:name="_Toc239662554"/>
      <w:r>
        <w:t>2. Fontes de Dados, Governança e Premissas</w:t>
      </w:r>
      <w:bookmarkEnd w:id="22"/>
      <w:bookmarkEnd w:id="23"/>
    </w:p>
    <w:p w14:paraId="28C13CA8" w14:textId="77777777" w:rsidR="00662B7B" w:rsidRDefault="00000000" w:rsidP="00587F4A">
      <w:pPr>
        <w:pStyle w:val="Ttulo3"/>
      </w:pPr>
      <w:bookmarkStart w:id="24" w:name="_Toc237938370"/>
      <w:bookmarkStart w:id="25" w:name="_Toc239662555"/>
      <w:r>
        <w:t>2.1 Bases utilizadas e volumetria</w:t>
      </w:r>
      <w:bookmarkEnd w:id="24"/>
      <w:bookmarkEnd w:id="25"/>
    </w:p>
    <w:p w14:paraId="1840C037" w14:textId="77777777" w:rsidR="00135A13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Foram utilizadas as seis edições públicas da pesquisa (Kaggle). As três últimas formam o núcleo obrigatório; as demais entram apenas como série histórica em indicadores de longo prazo (gênero, linguagens e cloud), decisão registrada como premissa P1.</w:t>
      </w:r>
    </w:p>
    <w:p w14:paraId="071AC6E4" w14:textId="77777777" w:rsidR="00135A13" w:rsidRPr="009D15D8" w:rsidRDefault="00000000" w:rsidP="009D15D8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i/>
          <w:iCs/>
          <w:color w:val="000000"/>
          <w:sz w:val="20"/>
        </w:rPr>
        <w:t>Nota: embora a descrição do dataset no edital tome 2021 como referência histórica padrão, a edição de 2019 foi mantida exclusivamente para estender a série temporal dos indicadores de gênero, linguagens e cloud.</w:t>
      </w:r>
    </w:p>
    <w:p w14:paraId="294CC231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26" w:name="__RefHeading___Toc2887_1907726246"/>
      <w:bookmarkStart w:id="27" w:name="_Toc239705865"/>
      <w:bookmarkEnd w:id="26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fldChar w:fldCharType="end"/>
        <w:t xml:space="preserve"> – Bases da pesquisa State of Data Brasil utilizadas no projeto.</w:t>
      </w:r>
      <w:bookmarkEnd w:id="27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1"/>
        <w:gridCol w:w="2559"/>
      </w:tblGrid>
      <w:tr w:rsidR="00662B7B" w14:paraId="7E4CE521" w14:textId="77777777">
        <w:trPr>
          <w:tblHeader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0C28F7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Edição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306B4E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Volumetria (linhas × colunas)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355DDC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Papel no projeto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028F50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Padrão de schema</w:t>
            </w:r>
          </w:p>
        </w:tc>
      </w:tr>
      <w:tr w:rsidR="00662B7B" w14:paraId="6F1A4B89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FF302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2025/26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E72A1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3.495 × 388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46EA6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Núcleo obrigatório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9C66A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1.a_idade</w:t>
            </w:r>
          </w:p>
        </w:tc>
      </w:tr>
      <w:tr w:rsidR="00662B7B" w14:paraId="05481A0E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D0BC2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D022D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5.217 × 403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D4EAF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Núcleo obrigatório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A47F32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1.a_idade</w:t>
            </w:r>
          </w:p>
        </w:tc>
      </w:tr>
      <w:tr w:rsidR="00662B7B" w14:paraId="15603599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C3A5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F7F33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5.293 × 399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3AD21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Núcleo obrigatório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99690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tupla ('P1_a ', 'Idade')</w:t>
            </w:r>
          </w:p>
        </w:tc>
      </w:tr>
      <w:tr w:rsidR="00662B7B" w14:paraId="2729A65E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6F4FD8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FB01BA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4.271 × 353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221EB8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Contexto histórico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A55584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tupla</w:t>
            </w:r>
          </w:p>
        </w:tc>
      </w:tr>
      <w:tr w:rsidR="00662B7B" w14:paraId="1AE8C07A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E02B8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F3C46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2.645 × 356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2406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Contexto histórico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E07A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tupla</w:t>
            </w:r>
          </w:p>
        </w:tc>
      </w:tr>
      <w:tr w:rsidR="00662B7B" w14:paraId="2D19BE27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2CD93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2019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996FFF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1.765 × 170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0E62B2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Contexto histórico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912462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tupla (schema distinto)</w:t>
            </w:r>
          </w:p>
        </w:tc>
      </w:tr>
    </w:tbl>
    <w:p w14:paraId="4FA0A74C" w14:textId="77777777" w:rsidR="009D15D8" w:rsidRDefault="009D15D8">
      <w:pPr>
        <w:rPr>
          <w:rFonts w:ascii="Arial" w:hAnsi="Arial"/>
          <w:color w:val="1F4D78"/>
          <w:sz w:val="24"/>
          <w:szCs w:val="24"/>
        </w:rPr>
      </w:pPr>
      <w:bookmarkStart w:id="28" w:name="_Toc237938371"/>
      <w:r>
        <w:br w:type="page"/>
      </w:r>
    </w:p>
    <w:p w14:paraId="613EF33D" w14:textId="77777777" w:rsidR="00662B7B" w:rsidRDefault="00000000" w:rsidP="00587F4A">
      <w:pPr>
        <w:pStyle w:val="Ttulo3"/>
      </w:pPr>
      <w:bookmarkStart w:id="29" w:name="_Toc239662556"/>
      <w:r>
        <w:t>2.2 Divergência de esquemas e harmonização (de-para)</w:t>
      </w:r>
      <w:bookmarkEnd w:id="28"/>
      <w:bookmarkEnd w:id="29"/>
    </w:p>
    <w:p w14:paraId="470642D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edição 2023 usa cabeçalhos em formato de tupla; 2024 e 2025/26 usam notação hierárquica; e códigos de colunas mudam de posição entre anos (a coluna de AWS, por exemplo, é </w:t>
      </w:r>
      <w:r>
        <w:rPr>
          <w:rFonts w:ascii="Arial" w:hAnsi="Arial" w:cs="Arial"/>
          <w:i/>
          <w:iCs/>
          <w:color w:val="000000"/>
          <w:sz w:val="20"/>
        </w:rPr>
        <w:t>4.e.1</w:t>
      </w:r>
      <w:r>
        <w:rPr>
          <w:rFonts w:ascii="Arial" w:hAnsi="Arial" w:cs="Arial"/>
          <w:color w:val="000000"/>
          <w:sz w:val="20"/>
        </w:rPr>
        <w:t xml:space="preserve"> em 2025/26, </w:t>
      </w:r>
      <w:r>
        <w:rPr>
          <w:rFonts w:ascii="Arial" w:hAnsi="Arial" w:cs="Arial"/>
          <w:i/>
          <w:iCs/>
          <w:color w:val="000000"/>
          <w:sz w:val="20"/>
        </w:rPr>
        <w:t>4.h.1</w:t>
      </w:r>
      <w:r>
        <w:rPr>
          <w:rFonts w:ascii="Arial" w:hAnsi="Arial" w:cs="Arial"/>
          <w:color w:val="000000"/>
          <w:sz w:val="20"/>
        </w:rPr>
        <w:t xml:space="preserve"> em 2024 e </w:t>
      </w:r>
      <w:r>
        <w:rPr>
          <w:rFonts w:ascii="Arial" w:hAnsi="Arial" w:cs="Arial"/>
          <w:i/>
          <w:iCs/>
          <w:color w:val="000000"/>
          <w:sz w:val="20"/>
        </w:rPr>
        <w:t>P4_h_2</w:t>
      </w:r>
      <w:r>
        <w:rPr>
          <w:rFonts w:ascii="Arial" w:hAnsi="Arial" w:cs="Arial"/>
          <w:color w:val="000000"/>
          <w:sz w:val="20"/>
        </w:rPr>
        <w:t xml:space="preserve"> em 2023). O de-para completo — 69 variáveis por edição — está versionado em src/config/column_mapping.json (repositório GitHub) e é aplicado no Glue Job 1. A tabela a seguir ilustra o padrão.</w:t>
      </w:r>
    </w:p>
    <w:p w14:paraId="563E866C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30" w:name="__RefHeading___Toc2885_1907726246"/>
      <w:bookmarkStart w:id="31" w:name="_Toc239705866"/>
      <w:bookmarkEnd w:id="30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fldChar w:fldCharType="end"/>
        <w:t xml:space="preserve"> – Exemplos do de-para de colunas entre edições (mapa completo versionado no repositório).</w:t>
      </w:r>
      <w:bookmarkEnd w:id="31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492"/>
        <w:gridCol w:w="3163"/>
        <w:gridCol w:w="3160"/>
        <w:gridCol w:w="1545"/>
      </w:tblGrid>
      <w:tr w:rsidR="00662B7B" w14:paraId="1B2600C5" w14:textId="77777777">
        <w:trPr>
          <w:tblHeader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7B7BB0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Variável harmonizada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E8F7EB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2025/26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1FD3E0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B4041B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2023</w:t>
            </w:r>
          </w:p>
        </w:tc>
      </w:tr>
      <w:tr w:rsidR="00662B7B" w14:paraId="3759C510" w14:textId="77777777"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F8569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genero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1DB9B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1.b_genero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6A6E6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1.b_genero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B60B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('P1_b ', 'Genero')</w:t>
            </w:r>
          </w:p>
        </w:tc>
      </w:tr>
      <w:tr w:rsidR="00662B7B" w14:paraId="17326A5D" w14:textId="77777777"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9E9D15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faixa_salarial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10472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2.h_faixa_salarial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87640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2.h_faixa_salarial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E1498B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('P2_h ', 'Faixa salarial')</w:t>
            </w:r>
          </w:p>
        </w:tc>
      </w:tr>
      <w:tr w:rsidR="00662B7B" w14:paraId="3F566E5E" w14:textId="77777777"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271DC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cloud_aws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ADD9F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4.e.1_Amazon Web Services (AWS)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EE86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4.h.1_Amazon Web Services (AWS)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76F9B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('P4_h_2 ', 'Amazon Web Services (AWS)')</w:t>
            </w:r>
          </w:p>
        </w:tc>
      </w:tr>
      <w:tr w:rsidR="00662B7B" w14:paraId="63B52F01" w14:textId="77777777"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1D4EF4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layoff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EC5C8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2.p_..._layoff_em_2025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A733F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2.q_..._layoff_em_2024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7813AA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('P2_q ', 'Empresa ... layoff em 2023')</w:t>
            </w:r>
          </w:p>
        </w:tc>
      </w:tr>
      <w:tr w:rsidR="00662B7B" w14:paraId="3EB6E42A" w14:textId="77777777"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D914A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prioridade_ia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F9211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3.e_ai_generativa_..._prioridade?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7E0A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3.e_ai_generativa_..._prioridade?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F12F7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('P3_e ', 'AI Generativa é uma prioridade...')</w:t>
            </w:r>
          </w:p>
        </w:tc>
      </w:tr>
    </w:tbl>
    <w:p w14:paraId="095BE35F" w14:textId="77777777" w:rsidR="009D15D8" w:rsidRDefault="009D15D8">
      <w:pPr>
        <w:rPr>
          <w:rFonts w:ascii="Arial" w:eastAsia="Aptos Display" w:hAnsi="Arial" w:cs="Arial"/>
          <w:b/>
          <w:bCs/>
          <w:color w:val="2E5395"/>
          <w:sz w:val="20"/>
        </w:rPr>
      </w:pPr>
      <w:bookmarkStart w:id="32" w:name="_Toc237938372"/>
    </w:p>
    <w:p w14:paraId="252E6B43" w14:textId="77777777" w:rsidR="009D15D8" w:rsidRDefault="009D15D8">
      <w:pPr>
        <w:rPr>
          <w:rFonts w:ascii="Arial" w:eastAsia="Aptos Display" w:hAnsi="Arial" w:cs="Arial"/>
          <w:b/>
          <w:bCs/>
          <w:color w:val="2E5395"/>
          <w:sz w:val="20"/>
        </w:rPr>
      </w:pPr>
      <w:r>
        <w:rPr>
          <w:rFonts w:ascii="Arial" w:eastAsia="Aptos Display" w:hAnsi="Arial" w:cs="Arial"/>
          <w:b/>
          <w:bCs/>
          <w:color w:val="2E5395"/>
          <w:sz w:val="20"/>
        </w:rPr>
        <w:br w:type="page"/>
      </w:r>
    </w:p>
    <w:p w14:paraId="00D5A237" w14:textId="77777777" w:rsidR="00662B7B" w:rsidRDefault="00000000" w:rsidP="00587F4A">
      <w:pPr>
        <w:pStyle w:val="Ttulo3"/>
      </w:pPr>
      <w:bookmarkStart w:id="33" w:name="_Toc239662557"/>
      <w:r>
        <w:t>2.3 Premissas versionadas</w:t>
      </w:r>
      <w:bookmarkEnd w:id="32"/>
      <w:bookmarkEnd w:id="33"/>
    </w:p>
    <w:p w14:paraId="1EBCC64A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Toda decisão metodológica com impacto nos números foi registrada como premissa auditável:</w:t>
      </w:r>
    </w:p>
    <w:p w14:paraId="4B0FC21A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34" w:name="__RefHeading___Toc2883_1907726246"/>
      <w:bookmarkStart w:id="35" w:name="_Toc239705867"/>
      <w:bookmarkEnd w:id="34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fldChar w:fldCharType="end"/>
        <w:t xml:space="preserve"> – Premissas analíticas versionadas do projeto.</w:t>
      </w:r>
      <w:bookmarkEnd w:id="35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5360"/>
      </w:tblGrid>
      <w:tr w:rsidR="00662B7B" w14:paraId="63E97FD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6962DC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A673B1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Premissa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25525DE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Decisão registrada</w:t>
            </w:r>
          </w:p>
        </w:tc>
      </w:tr>
      <w:tr w:rsidR="00662B7B" w14:paraId="011497C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A774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1DE72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Escopo das edições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38DA1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Núcleo = 2023/2024/2025-26; 2019/2021/2022 apenas em séries longas (gênero, linguagens, cloud)</w:t>
            </w:r>
          </w:p>
        </w:tc>
      </w:tr>
      <w:tr w:rsidR="00662B7B" w14:paraId="37173C5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E0F6FD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141FD4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Tratamento de dados sensíveis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B9D281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Base pública anonimizada na origem; análise exclusivamente agregada; sem supressão adicional de células</w:t>
            </w:r>
          </w:p>
        </w:tc>
      </w:tr>
      <w:tr w:rsidR="00662B7B" w14:paraId="4271E36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3356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D512D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Estimativa salarial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410BE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Ponto médio da faixa salarial: 'de X a Y' → (X + Y) ÷ 2; 'Menos de X' → X ÷ 2; 'Acima de X' → X × 1,125.</w:t>
            </w:r>
          </w:p>
        </w:tc>
      </w:tr>
      <w:tr w:rsidR="00662B7B" w14:paraId="68F8824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62CA08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917664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Correção de typo (2025/26)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BADE8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"de R$ 25.001/mês a R$ 3000/mês" → teto interpretado como R$ 30.000 (regra: teto&lt;piso </w:t>
            </w:r>
            <w:r>
              <w:rPr>
                <w:rFonts w:ascii="Cambria Math" w:hAnsi="Cambria Math" w:cs="Cambria Math"/>
                <w:color w:val="000000"/>
                <w:sz w:val="20"/>
              </w:rPr>
              <w:t>⇒</w:t>
            </w:r>
            <w:r>
              <w:rPr>
                <w:rFonts w:ascii="Arial" w:hAnsi="Arial" w:cs="Arial"/>
                <w:color w:val="000000"/>
                <w:sz w:val="20"/>
              </w:rPr>
              <w:t xml:space="preserve"> teto×10); 1 registro afetado</w:t>
            </w:r>
          </w:p>
        </w:tc>
      </w:tr>
      <w:tr w:rsidR="00662B7B" w14:paraId="61E3781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AA49A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D7D16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Harmonização de cargos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881D9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Agrupamento em cargo_grupo por famílias funcionais; Engenharia de Dados e Arquitetura de Dados unificadas, seguindo o padrão de rótulo da própria edição 2023 da pesquisa.</w:t>
            </w:r>
          </w:p>
        </w:tc>
      </w:tr>
      <w:tr w:rsidR="00662B7B" w14:paraId="0BB8A09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83664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1F7435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Multirresposta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5DEB45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Percentuais calculados sobre respondentes válidos da questão, nunca sobre o total da base</w:t>
            </w:r>
          </w:p>
        </w:tc>
      </w:tr>
      <w:tr w:rsidR="00662B7B" w14:paraId="6C64F60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F5321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FA4E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Booleanos heterogêneos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B4FD4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`1/0`, `True/False` e `TRUE/FALSE` (padrão 2024) normalizados para inteiro 1/0</w:t>
            </w:r>
          </w:p>
        </w:tc>
      </w:tr>
      <w:tr w:rsidR="00662B7B" w14:paraId="44A11D1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3EC8E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AE0A7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Corte de exibição por tamanho de grupo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D4CBF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Recortes com n &lt; 30 não são exibidos em gráficos e tabelas (corte de exibição, não de processamento). Justificativa medida na Seção 2.6: abaixo desse limite a mediana de faixa oscila por várias faixas sob reamostragem. Afeta 2 dos 12 grupos de cargo de 2025/26 (25 respondentes, 1,0%) e a região Norte no nível Sênior</w:t>
            </w:r>
          </w:p>
        </w:tc>
      </w:tr>
    </w:tbl>
    <w:p w14:paraId="73E6DAB1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7A60AD7C" w14:textId="77777777" w:rsidR="00662B7B" w:rsidRDefault="00000000" w:rsidP="00587F4A">
      <w:pPr>
        <w:pStyle w:val="Ttulo3"/>
      </w:pPr>
      <w:bookmarkStart w:id="36" w:name="_Toc237938373"/>
      <w:bookmarkStart w:id="37" w:name="_Toc239662558"/>
      <w:r>
        <w:t>2.4 LGPD e conformidade</w:t>
      </w:r>
      <w:bookmarkEnd w:id="36"/>
      <w:bookmarkEnd w:id="37"/>
    </w:p>
    <w:p w14:paraId="69EC718B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As bases são publicadas anonimizadas na origem pelo Data Hackers. O projeto opera exclusivamente com estatísticas agregadas, sem qualquer tentativa de reidentificação (vedada pela LGPD), cita fonte, edição e n amostral em todos os gráficos e tabelas, e adota os controles de segurança da Seção 3.3 — atendendo ao bloco regulatório definido para o projeto.</w:t>
      </w:r>
    </w:p>
    <w:p w14:paraId="2ECCD94F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Esse tratamento cobre o dataset público usado neste projeto. Se a instituição financeira adotar a mesma arquitetura sobre seus próprios dados de RH e candidatos — não públicos, não anonimizados — a base legal, o direito do titular, a retenção e os controles de segurança cibernética (Resolução BACEN 4.658/2021, aplicável a instituições financeiras) precisam ser reavaliados; esse é um requisito da fase de implementação, fora do escopo analítico deste relatório.</w:t>
      </w:r>
    </w:p>
    <w:p w14:paraId="03B97030" w14:textId="77777777" w:rsidR="00662B7B" w:rsidRDefault="00000000" w:rsidP="00587F4A">
      <w:pPr>
        <w:pStyle w:val="Ttulo3"/>
      </w:pPr>
      <w:bookmarkStart w:id="38" w:name="_Toc237938374"/>
      <w:bookmarkStart w:id="39" w:name="_Toc239662559"/>
      <w:r>
        <w:t>2.5 Análise Exploratória e Qualidade dos Dados</w:t>
      </w:r>
      <w:bookmarkEnd w:id="38"/>
      <w:bookmarkEnd w:id="39"/>
    </w:p>
    <w:p w14:paraId="7C1195A9" w14:textId="77777777" w:rsidR="00135A13" w:rsidRDefault="00000000" w:rsidP="00DF1B84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Antes de qualquer análise, o núcleo harmonizado (silver_core, n = 14.005: 5.293 em 2023, 5.217 em 2024 e 3.495 em 2025/26) passou por avaliação exploratória de qualidade. </w:t>
      </w:r>
      <w:r>
        <w:rPr>
          <w:rFonts w:ascii="Arial" w:hAnsi="Arial" w:cs="Arial"/>
          <w:b/>
          <w:bCs/>
          <w:color w:val="000000"/>
          <w:sz w:val="20"/>
        </w:rPr>
        <w:t xml:space="preserve">Unicidade: </w:t>
      </w:r>
      <w:r>
        <w:rPr>
          <w:rFonts w:ascii="Arial" w:hAnsi="Arial" w:cs="Arial"/>
          <w:color w:val="000000"/>
          <w:sz w:val="20"/>
        </w:rPr>
        <w:t xml:space="preserve">foram identificadas apenas 3 ocorrências de token repetido (2 em 2024 e 1 em 2025/26; 0,02% do núcleo), mantidas na base por impacto estatístico nulo. </w:t>
      </w:r>
      <w:r>
        <w:rPr>
          <w:rFonts w:ascii="Arial" w:hAnsi="Arial" w:cs="Arial"/>
          <w:b/>
          <w:bCs/>
          <w:color w:val="000000"/>
          <w:sz w:val="20"/>
        </w:rPr>
        <w:t xml:space="preserve">Nulos: </w:t>
      </w:r>
      <w:r>
        <w:rPr>
          <w:rFonts w:ascii="Arial" w:hAnsi="Arial" w:cs="Arial"/>
          <w:color w:val="000000"/>
          <w:sz w:val="20"/>
        </w:rPr>
        <w:t xml:space="preserve">os valores ausentes são majoritariamente estruturais — decorrem do fluxo condicional do questionário, não de falha de coleta — e por isso nenhuma imputação foi aplicada; cada análise usa como denominador os respondentes válidos da questão (premissa P6). A Tabela 5 resume o preenchimento das variáveis-chave e o motivo estrutural de cada lacuna.</w:t>
      </w:r>
    </w:p>
    <w:p w14:paraId="49A76563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40" w:name="__RefHeading___Toc2881_1907726246"/>
      <w:bookmarkStart w:id="41" w:name="_Toc239705868"/>
      <w:bookmarkEnd w:id="40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fldChar w:fldCharType="end"/>
        <w:t xml:space="preserve"> – Preenchimento das variáveis-chave do núcleo (n = 14.005) e origem estrutural dos nulos.</w:t>
      </w:r>
      <w:bookmarkEnd w:id="41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895"/>
        <w:gridCol w:w="1404"/>
        <w:gridCol w:w="5061"/>
      </w:tblGrid>
      <w:tr w:rsidR="00662B7B" w14:paraId="180946B4" w14:textId="77777777">
        <w:trPr>
          <w:tblHeader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5E95D8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Variável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4B5163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Preenchida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221716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Motivo estrutural do nulo</w:t>
            </w:r>
          </w:p>
        </w:tc>
      </w:tr>
      <w:tr w:rsidR="00662B7B" w14:paraId="4942F7B0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EA34A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genero / atuacao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F25BD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100,0%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B9D59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Perguntas universais</w:t>
            </w:r>
          </w:p>
        </w:tc>
      </w:tr>
      <w:tr w:rsidR="00662B7B" w14:paraId="737F4129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924F6E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faixa_salarial, modelo_atual, satisfeito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A1FC45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91,7%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FBC3D0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Respondidas apenas por quem tem vínculo ativo (8,3% desempregados/estudantes)</w:t>
            </w:r>
          </w:p>
        </w:tc>
      </w:tr>
      <w:tr w:rsidR="00662B7B" w14:paraId="0801DE58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F3C47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nivel e cargo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C606B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72,7%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B83F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Respondidas apenas por contribuidores individuais empregados</w:t>
            </w:r>
          </w:p>
        </w:tc>
      </w:tr>
      <w:tr w:rsidR="00662B7B" w14:paraId="48C5710E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BB7A0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cargo_gestor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54486B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19,1%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F16BE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Respondida apenas pelos 2.668 gestores</w:t>
            </w:r>
          </w:p>
        </w:tc>
      </w:tr>
      <w:tr w:rsidR="00662B7B" w14:paraId="5734C4DE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F14C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prioridade_ia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1C204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18,5%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0F40C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Bloco exclusivo de gestores</w:t>
            </w:r>
          </w:p>
        </w:tc>
      </w:tr>
    </w:tbl>
    <w:p w14:paraId="1E7169CB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7FF44EDC" w14:textId="77777777" w:rsidR="00662B7B" w:rsidRDefault="00000000" w:rsidP="00587F4A">
      <w:pPr>
        <w:pStyle w:val="Ttulo3"/>
      </w:pPr>
      <w:bookmarkStart w:id="42" w:name="_Toc237938375"/>
      <w:bookmarkStart w:id="43" w:name="_Toc239662560"/>
      <w:r>
        <w:t>2.6 Nota metodológica: abordagem descritiva e escolhas de representação</w:t>
      </w:r>
      <w:bookmarkEnd w:id="42"/>
      <w:bookmarkEnd w:id="43"/>
    </w:p>
    <w:p w14:paraId="5A823E0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Este relatório adota deliberadamente análise </w:t>
      </w:r>
      <w:r>
        <w:rPr>
          <w:rFonts w:ascii="Arial" w:hAnsi="Arial" w:cs="Arial"/>
          <w:b/>
          <w:bCs/>
          <w:color w:val="000000"/>
          <w:sz w:val="20"/>
        </w:rPr>
        <w:t>exclusivamente descritiva</w:t>
      </w:r>
      <w:r>
        <w:rPr>
          <w:rFonts w:ascii="Arial" w:hAnsi="Arial" w:cs="Arial"/>
          <w:color w:val="000000"/>
          <w:sz w:val="20"/>
        </w:rPr>
        <w:t>. Como a amostra é por conveniência — sem desenho probabilístico nem pesos amostrais —, intervalos de confiança e testes de hipótese não teriam validade inferencial para o universo de profissionais do país; incluí-los seria decoração estatística, não rigor. Em substituição, o relatório (i) declara o n de cada recorte, (ii) destaca apenas diferenças de magnitude expressiva e consistentes entre edições, e (iii) trata toda leitura como 'entre os respondentes da pesquisa'.</w:t>
      </w:r>
    </w:p>
    <w:p w14:paraId="5191EF1A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As escolhas de representação seguem o mesmo princípio: </w:t>
      </w:r>
      <w:r>
        <w:rPr>
          <w:rFonts w:ascii="Arial" w:hAnsi="Arial" w:cs="Arial"/>
          <w:b/>
          <w:bCs/>
          <w:color w:val="000000"/>
          <w:sz w:val="20"/>
        </w:rPr>
        <w:t>barras</w:t>
      </w:r>
      <w:r>
        <w:rPr>
          <w:rFonts w:ascii="Arial" w:hAnsi="Arial" w:cs="Arial"/>
          <w:color w:val="000000"/>
          <w:sz w:val="20"/>
        </w:rPr>
        <w:t xml:space="preserve"> para comparações categóricas (percepção de proporção por comprimento), </w:t>
      </w:r>
      <w:r>
        <w:rPr>
          <w:rFonts w:ascii="Arial" w:hAnsi="Arial" w:cs="Arial"/>
          <w:b/>
          <w:bCs/>
          <w:color w:val="000000"/>
          <w:sz w:val="20"/>
        </w:rPr>
        <w:t>linhas</w:t>
      </w:r>
      <w:r>
        <w:rPr>
          <w:rFonts w:ascii="Arial" w:hAnsi="Arial" w:cs="Arial"/>
          <w:color w:val="000000"/>
          <w:sz w:val="20"/>
        </w:rPr>
        <w:t xml:space="preserve"> para evolução temporal, </w:t>
      </w:r>
      <w:r>
        <w:rPr>
          <w:rFonts w:ascii="Arial" w:hAnsi="Arial" w:cs="Arial"/>
          <w:b/>
          <w:bCs/>
          <w:color w:val="000000"/>
          <w:sz w:val="20"/>
        </w:rPr>
        <w:t>mediana</w:t>
      </w:r>
      <w:r>
        <w:rPr>
          <w:rFonts w:ascii="Arial" w:hAnsi="Arial" w:cs="Arial"/>
          <w:color w:val="000000"/>
          <w:sz w:val="20"/>
        </w:rPr>
        <w:t xml:space="preserve"> como medida central pela robustez à assimetria típica de distribuições salariais, e vedação a gráficos de pizza com mais de três categorias. As variações são expressas em pontos percentuais (p.p.) e razões de crescimento (×) em vez de CAGR, pois taxas de adoção são limitadas a 100% e métricas compostas induziriam leitura enganosa de aceleração. Por fim, todos os valores monetários deste relatório são nominais, sem deflacionamento: comparações entre edições refletem a remuneração declarada em cada ano, não o poder de compra equivalente. A mediana calculada sobre faixas tem ainda baixa resolução — como as faixas chegam a R$ 4.000 de amplitude, grupos com distribuições diferentes podem exibir a mesma mediana; quando esse limite é relevante para a conclusão, o relatório complementa a mediana com a média dos pontos médios, que discrimina dentro da faixa. Desse mesmo limite decorre a premissa P8: recortes por grupo com menos de 30 respondentes não são exibidos nos gráficos e tabelas. O corte não é convenção adotada por comodidade, e sim consequência medida da baixa resolução do instrumento. Reamostrando os próprios dados de 2025/26 (3.000 reamostragens com reposição), a mediana do grupo Estatística/Economia (n = 9) oscila entre R$ 1.500 e R$ 18.000 — atravessa sete faixas salariais —, e a de Professor/Pesquisador (n = 16) oscila entre R$ 5.000 e R$ 16.000. Acima do corte, a oscilação cai para uma faixa: Produto (n = 33) varia entre R$ 10.000 e R$ 18.113 e os grupos com mais de cem respondentes se estabilizam em uma única faixa. Exibir uma mediana de nove respondentes ao lado de outra de 599 sugeriria ao leitor uma precisão que o dado não tem. O corte é de exibição, não de processamento: nenhum registro é descartado do pipeline, os grupos pequenos permanecem íntegros na camada Gold e são nomeados no texto sempre que ficam de fora. Na prática, o critério afeta 2 dos 12 grupos de cargo de 2025/26 — 25 respondentes, 1,0% da base com cargo declarado — e, no recorte regional por senioridade, apenas a região Norte (n = 12 no nível Sênior).</w:t>
      </w:r>
      <w:bookmarkStart w:id="44" w:name="_Toc237938376"/>
    </w:p>
    <w:p w14:paraId="070A66A2" w14:textId="59A5A3C3" w:rsidR="000F73CA" w:rsidRDefault="00000000" w:rsidP="0054247D">
      <w:pPr>
        <w:spacing w:after="120"/>
        <w:jc w:val="both"/>
        <w:rPr>
          <w:rFonts w:ascii="Arial" w:hAnsi="Arial"/>
          <w:color w:val="0070C0"/>
          <w:sz w:val="32"/>
          <w:szCs w:val="26"/>
        </w:rPr>
      </w:pPr>
      <w:r>
        <w:rPr>
          <w:rFonts w:ascii="Arial" w:hAnsi="Arial" w:cs="Arial"/>
          <w:color w:val="000000"/>
          <w:sz w:val="20"/>
        </w:rPr>
        <w:t xml:space="preserve">Validação das medianas críticas: todas as medianas salariais deste relatório são calculadas pela função exata do Spark (percentile, sem aproximação) — não pela função aproximada (percentile_approx/APPROX_PERCENTILE, algoritmo T-digest) usada em versões anteriores do pipeline. A função aproximada pode divergir da mediana exata quando a coluna tem poucos valores distintos e muito repetidos — exatamente o caso de salario_pm, derivada do ponto médio de faixas (Premissa P3): a mediana Sênior de 2023, por exemplo, chegava a R$ 11.498 pela função aproximada, contra R$ 10.001 pelo cálculo exato. A divergência foi eliminada na origem: job_02_silver_to_gold.py e o notebook 03 usam percentile(salario_pm, 0.5) nas 7 agregações salariais da camada Gold, que foi inteiramente regenerada e reconferida — nenhum número citado neste relatório foi afetado pela correção.</w:t>
      </w:r>
    </w:p>
    <w:p w14:paraId="3510167D" w14:textId="77777777" w:rsidR="00662B7B" w:rsidRDefault="00000000" w:rsidP="00587F4A">
      <w:pPr>
        <w:pStyle w:val="Ttulo2"/>
      </w:pPr>
      <w:bookmarkStart w:id="45" w:name="_Toc239662561"/>
      <w:r>
        <w:t>3. Arquitetura da Solução AWS</w:t>
      </w:r>
      <w:bookmarkEnd w:id="44"/>
      <w:bookmarkEnd w:id="45"/>
    </w:p>
    <w:p w14:paraId="453B97BF" w14:textId="77777777" w:rsidR="00662B7B" w:rsidRDefault="00000000" w:rsidP="00587F4A">
      <w:pPr>
        <w:pStyle w:val="Ttulo3"/>
      </w:pPr>
      <w:bookmarkStart w:id="46" w:name="_Toc237938377"/>
      <w:bookmarkStart w:id="47" w:name="_Toc239662562"/>
      <w:r>
        <w:t>3.1 Visão geral</w:t>
      </w:r>
      <w:bookmarkEnd w:id="46"/>
      <w:bookmarkEnd w:id="47"/>
    </w:p>
    <w:p w14:paraId="1A39482A" w14:textId="77777777" w:rsidR="00135A13" w:rsidRDefault="00000000" w:rsidP="000F73CA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A solução implementa o padrão Medallion em ambiente AWS Academy Lab: dados brutos imutáveis (Bronze), dados harmonizados e tipados (Silver) e agregados prontos para consumo analítico (Gold), com catalogação central e consulta SQL serverless. A Figura 1 apresenta o fluxo completo, numerado nas onze etapas do desenho oficial em Draw.io.</w:t>
      </w:r>
    </w:p>
    <w:p w14:paraId="22923B91" w14:textId="77777777" w:rsidR="00662B7B" w:rsidRDefault="008D014E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5D004193" wp14:editId="495C84BE">
            <wp:extent cx="5684520" cy="3502025"/>
            <wp:effectExtent l="0" t="0" r="0" b="0"/>
            <wp:docPr id="763593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93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E804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48" w:name="_Toc239705847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fldChar w:fldCharType="end"/>
        <w:t xml:space="preserve"> – Arquitetura da solução AWS — fluxo Kaggle → S3 (Bronze/Silver/Gold) → Glue → Athena → consumo.</w:t>
      </w:r>
      <w:bookmarkEnd w:id="48"/>
    </w:p>
    <w:p w14:paraId="33E8C017" w14:textId="77777777" w:rsidR="00662B7B" w:rsidRDefault="00000000" w:rsidP="00587F4A">
      <w:pPr>
        <w:pStyle w:val="Ttulo3"/>
      </w:pPr>
      <w:bookmarkStart w:id="49" w:name="_Toc237938378"/>
      <w:bookmarkStart w:id="50" w:name="_Toc239662563"/>
      <w:r>
        <w:t>3.2 Camadas e responsabilidades</w:t>
      </w:r>
      <w:bookmarkEnd w:id="49"/>
      <w:bookmarkEnd w:id="50"/>
    </w:p>
    <w:p w14:paraId="031DF5A5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51" w:name="__RefHeading___Toc2879_1907726246"/>
      <w:bookmarkStart w:id="52" w:name="_Toc239705869"/>
      <w:bookmarkEnd w:id="51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fldChar w:fldCharType="end"/>
        <w:t xml:space="preserve"> – Camadas de dados, conteúdo e tecnologia.</w:t>
      </w:r>
      <w:bookmarkEnd w:id="52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1501"/>
        <w:gridCol w:w="2899"/>
      </w:tblGrid>
      <w:tr w:rsidR="00662B7B" w14:paraId="6B5248E3" w14:textId="77777777">
        <w:trPr>
          <w:tblHeader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2F6572C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Camada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1F0890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Conteúdo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3C6528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Formato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A599FB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Tecnologia</w:t>
            </w:r>
          </w:p>
        </w:tc>
      </w:tr>
      <w:tr w:rsidR="00662B7B" w14:paraId="14F2CA18" w14:textId="77777777"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C318E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Bronze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9E900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 CSVs originais, partição ano=YYYY, imutável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078AD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CSV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67674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S3</w:t>
            </w:r>
          </w:p>
        </w:tc>
      </w:tr>
      <w:tr w:rsidR="00662B7B" w14:paraId="223BB477" w14:textId="77777777"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13FBB6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Silver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5046F1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silver_core (3 edições, 69 colunas) e silver_serie_longa (6 edições)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2608E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Parquet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C2FD64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S3 + Glue Job 1 (PySpark)</w:t>
            </w:r>
          </w:p>
        </w:tc>
      </w:tr>
      <w:tr w:rsidR="00662B7B" w14:paraId="4466A6C3" w14:textId="77777777"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86F0D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Gold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D1C65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21 tabelas analíticas agregadas por tema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B1C7F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Parquet + CSV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517E4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S3 + Glue Job 2 (PySpark)</w:t>
            </w:r>
          </w:p>
        </w:tc>
      </w:tr>
      <w:tr w:rsidR="00662B7B" w14:paraId="0C4B4F35" w14:textId="77777777"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18646D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Catálogo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FD17E6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db stateofdata — tabelas silver e gold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2EB9A0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metadados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380B92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Glue Data Catalog</w:t>
            </w:r>
          </w:p>
        </w:tc>
      </w:tr>
      <w:tr w:rsidR="00662B7B" w14:paraId="0954C969" w14:textId="77777777"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2A4F6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Consumo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3560F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Consultas Q1–Q7 e gráficos executivos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D593D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SQL / PNG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9543B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Athena · Matplotlib</w:t>
            </w:r>
          </w:p>
        </w:tc>
      </w:tr>
    </w:tbl>
    <w:p w14:paraId="14BF7E84" w14:textId="77777777" w:rsidR="000F73CA" w:rsidRDefault="00000000" w:rsidP="00DF1B84">
      <w:pPr>
        <w:spacing w:before="120" w:after="120"/>
        <w:jc w:val="both"/>
        <w:rPr>
          <w:rFonts w:ascii="Arial" w:hAnsi="Arial"/>
          <w:color w:val="1F4D78"/>
          <w:sz w:val="24"/>
          <w:szCs w:val="24"/>
        </w:rPr>
      </w:pPr>
      <w:r>
        <w:rPr>
          <w:rFonts w:ascii="Arial" w:hAnsi="Arial" w:cs="Arial"/>
          <w:b/>
          <w:color w:val="000000"/>
          <w:sz w:val="20"/>
        </w:rPr>
        <w:t xml:space="preserve">Alternativas consideradas. </w:t>
      </w:r>
      <w:r>
        <w:rPr>
          <w:rFonts w:ascii="Arial" w:hAnsi="Arial" w:cs="Arial"/>
          <w:color w:val="000000"/>
          <w:sz w:val="20"/>
        </w:rPr>
        <w:t xml:space="preserve">A escolha de Glue — não EMR/Databricks — e Athena — não Redshift — segue o mesmo critério de adequação ao volume e ao formato do Lab, não preferência de fornecedor. Glue é serverless, com custo por execução e sem cluster para provisionar/desligar, adequado a um pipeline batch de poucos minutos; EMR/Databricks fariam sentido a partir de um volume ou de uma cadência de execução que este projeto não tem. Athena é serverless e cobra por TB escaneado — para um datalake desta escala (dezenas de MB), o custo por consulta é irrelevante e não há cluster provisionado ocioso entre consultas, ao contrário de um Redshift dedicado.</w:t>
      </w:r>
      <w:bookmarkStart w:id="53" w:name="_Toc237938379"/>
    </w:p>
    <w:p w14:paraId="1165385E" w14:textId="77777777" w:rsidR="00662B7B" w:rsidRDefault="00000000" w:rsidP="00587F4A">
      <w:pPr>
        <w:pStyle w:val="Ttulo3"/>
      </w:pPr>
      <w:bookmarkStart w:id="54" w:name="_Toc239662564"/>
      <w:r>
        <w:t>3.3 Segurança</w:t>
      </w:r>
      <w:bookmarkEnd w:id="53"/>
      <w:bookmarkEnd w:id="54"/>
    </w:p>
    <w:p w14:paraId="73301A47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color w:val="000000"/>
          <w:sz w:val="20"/>
        </w:rPr>
        <w:t xml:space="preserve">Controles aplicados: </w:t>
      </w:r>
      <w:r>
        <w:rPr>
          <w:rFonts w:ascii="Arial" w:hAnsi="Arial" w:cs="Arial"/>
          <w:color w:val="000000"/>
          <w:sz w:val="20"/>
        </w:rPr>
        <w:t>criptografia em repouso SSE-S3 nas três camadas; Block Public Access ativo no bucket; IAM LabRole com menor privilégio (restrição do próprio Lab); segregação lógica bronze/silver/gold; e particionamento ano=YYYY, que reduz varredura e custo por consulta no Athena.</w:t>
      </w:r>
    </w:p>
    <w:p w14:paraId="176D1579" w14:textId="77777777" w:rsidR="00662B7B" w:rsidRDefault="00000000" w:rsidP="00587F4A">
      <w:pPr>
        <w:pStyle w:val="Ttulo3"/>
      </w:pPr>
      <w:bookmarkStart w:id="55" w:name="_Toc237938380"/>
      <w:bookmarkStart w:id="56" w:name="_Toc239662565"/>
      <w:r>
        <w:t>3.4 Execução no AWS Academy Lab e evidências</w:t>
      </w:r>
      <w:bookmarkEnd w:id="55"/>
      <w:bookmarkEnd w:id="56"/>
    </w:p>
    <w:p w14:paraId="4EDD8A37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O pipeline foi desenvolvido e validado de ponta a ponta com os dados reais e portado para o Lab em dois Glue Jobs idempotentes (parâmetro --BUCKET). O guia operacional do grupo documenta o passo a passo do console e a coleta das evidências </w:t>
      </w:r>
      <w:r>
        <w:rPr>
          <w:rFonts w:ascii="Arial" w:hAnsi="Arial" w:cs="Arial"/>
          <w:b/>
          <w:bCs/>
          <w:color w:val="000000"/>
          <w:sz w:val="20"/>
        </w:rPr>
        <w:t>E01–E08</w:t>
      </w:r>
      <w:r>
        <w:rPr>
          <w:rFonts w:ascii="Arial" w:hAnsi="Arial" w:cs="Arial"/>
          <w:color w:val="000000"/>
          <w:sz w:val="20"/>
        </w:rPr>
        <w:t xml:space="preserve"> (Learner Lab ativo, bucket seguro, Bronze com as seis edições, jobs Succeeded, Parquet nas camadas, catálogo e queries no Athena), que devem ser anexadas na pasta evidence do repositório.</w:t>
      </w:r>
      <w:bookmarkStart w:id="57" w:name="_Toc237938381"/>
    </w:p>
    <w:p w14:paraId="240C2FDB" w14:textId="77777777" w:rsidR="00662B7B" w:rsidRDefault="00000000" w:rsidP="00587F4A">
      <w:pPr>
        <w:pStyle w:val="Ttulo2"/>
      </w:pPr>
      <w:bookmarkStart w:id="58" w:name="_Toc239662566"/>
      <w:r>
        <w:t>4. Pipeline de Dados</w:t>
      </w:r>
      <w:bookmarkEnd w:id="57"/>
      <w:bookmarkEnd w:id="58"/>
    </w:p>
    <w:p w14:paraId="0294B02A" w14:textId="77777777" w:rsidR="00662B7B" w:rsidRDefault="00000000" w:rsidP="00587F4A">
      <w:pPr>
        <w:pStyle w:val="Ttulo3"/>
      </w:pPr>
      <w:bookmarkStart w:id="59" w:name="_Toc237938382"/>
      <w:bookmarkStart w:id="60" w:name="_Toc239662567"/>
      <w:r>
        <w:t>4.1 Ingestão (Bronze)</w:t>
      </w:r>
      <w:bookmarkEnd w:id="59"/>
      <w:bookmarkEnd w:id="60"/>
    </w:p>
    <w:p w14:paraId="1D36F94D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Os seis CSVs são renomeados para o padrão state_of_data_AAAA.csv e carregados em datalake/bronze/ano=AAAA/. A camada é tratada como imutável: nenhuma transformação ocorre sobre os arquivos originais, preservando a auditabilidade da origem.</w:t>
      </w:r>
    </w:p>
    <w:p w14:paraId="6106C1BC" w14:textId="77777777" w:rsidR="00662B7B" w:rsidRDefault="00000000" w:rsidP="00587F4A">
      <w:pPr>
        <w:pStyle w:val="Ttulo3"/>
      </w:pPr>
      <w:bookmarkStart w:id="61" w:name="_Toc237938383"/>
      <w:bookmarkStart w:id="62" w:name="_Toc239662568"/>
      <w:r>
        <w:t>4.2 Transformação Bronze → Silver</w:t>
      </w:r>
      <w:bookmarkEnd w:id="61"/>
      <w:bookmarkEnd w:id="62"/>
    </w:p>
    <w:p w14:paraId="5B433411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O Glue Job 1 aplica o de-para de colunas, normaliza variáveis binárias (incluindo os booleanos TRUE/FALSE exclusivos da edição 2024 — premissa P7), harmoniza categorias (cargos, modelos de trabalho, prioridade de IA), calcula o ponto médio salarial (premissas P3 e P4) e grava Parquet particionado. A reconciliação de volumetria é verificada por asserções automáticas ao final do job:</w:t>
      </w:r>
    </w:p>
    <w:p w14:paraId="3C316A29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63" w:name="__RefHeading___Toc2877_1907726246"/>
      <w:bookmarkStart w:id="64" w:name="_Toc239705870"/>
      <w:bookmarkEnd w:id="63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8</w:t>
      </w:r>
      <w:r>
        <w:rPr>
          <w:rFonts w:ascii="Arial" w:hAnsi="Arial" w:cs="Arial"/>
          <w:sz w:val="20"/>
          <w:szCs w:val="20"/>
        </w:rPr>
        <w:fldChar w:fldCharType="end"/>
        <w:t xml:space="preserve"> – Reconciliação Bronze × Silver por edição (asserções do Glue Job 1).</w:t>
      </w:r>
      <w:bookmarkEnd w:id="64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799"/>
        <w:gridCol w:w="2602"/>
        <w:gridCol w:w="2600"/>
        <w:gridCol w:w="2359"/>
      </w:tblGrid>
      <w:tr w:rsidR="00662B7B" w14:paraId="6F6E8991" w14:textId="77777777">
        <w:trPr>
          <w:tblHeader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EC275A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Edição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528111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Linhas esperadas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D2534A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Linhas na Silver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762414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Status</w:t>
            </w:r>
          </w:p>
        </w:tc>
      </w:tr>
      <w:tr w:rsidR="00662B7B" w14:paraId="43D1E3E0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A084E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2019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43B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1.765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8EC84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1.765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A6608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  <w:tr w:rsidR="00662B7B" w14:paraId="6C047CB7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61FD12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2021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DA6DE2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2.645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5A4EE4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2.645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3562CE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  <w:tr w:rsidR="00662B7B" w14:paraId="6901B192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31758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2022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76E8C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4.271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CC01B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4.271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6BA76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  <w:tr w:rsidR="00662B7B" w14:paraId="189ABF97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1060CC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2023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023EC0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5.293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21BC6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5.293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24693A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  <w:tr w:rsidR="00662B7B" w14:paraId="4BFF5F71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B4C29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2024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99362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5.217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BF4B3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5.217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B536A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  <w:tr w:rsidR="00662B7B" w14:paraId="1A67207E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EFD4EA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2025/26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BF96B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3.495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05C4D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3.495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B5D6E8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</w:tbl>
    <w:p w14:paraId="015652A0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67AC7739" w14:textId="77777777" w:rsidR="00662B7B" w:rsidRDefault="00000000" w:rsidP="00587F4A">
      <w:pPr>
        <w:pStyle w:val="Ttulo3"/>
      </w:pPr>
      <w:bookmarkStart w:id="65" w:name="_Toc237938384"/>
      <w:bookmarkStart w:id="66" w:name="_Toc239662569"/>
      <w:r>
        <w:t>4.3 Transformação Silver → Gold</w:t>
      </w:r>
      <w:bookmarkEnd w:id="65"/>
      <w:bookmarkEnd w:id="66"/>
    </w:p>
    <w:p w14:paraId="271120CD" w14:textId="05F4968B" w:rsidR="000F73CA" w:rsidRDefault="00000000" w:rsidP="0054247D">
      <w:pPr>
        <w:spacing w:after="120"/>
        <w:jc w:val="both"/>
        <w:rPr>
          <w:rFonts w:ascii="Arial" w:hAnsi="Arial"/>
          <w:color w:val="1F4D78"/>
          <w:sz w:val="24"/>
          <w:szCs w:val="24"/>
        </w:rPr>
      </w:pPr>
      <w:r>
        <w:rPr>
          <w:rFonts w:ascii="Arial" w:hAnsi="Arial" w:cs="Arial"/>
          <w:color w:val="000000"/>
          <w:sz w:val="20"/>
        </w:rPr>
        <w:t>O Glue Job 2 materializa 21 tabelas agregadas (englobando respondentes, cargos, senioridade, salários por nível e por cargo, participação e gaps de gênero, tecnologias, prioridade de IA, uso de GenAI, regiões, modelos de trabalho, termômetro de mercado, intenção de mudança, critérios de escolha de emprego e desafios de gestores), cada uma gravada em Parquet (consulta) e CSV (consumo direto pelos gráficos). Os percentuais de questões multirresposta usam como denominador a base de respondentes válidos de cada pergunta (premissa P6).</w:t>
      </w:r>
      <w:bookmarkStart w:id="67" w:name="_Toc237938385"/>
    </w:p>
    <w:p w14:paraId="57241CCE" w14:textId="77777777" w:rsidR="00662B7B" w:rsidRDefault="00000000" w:rsidP="00587F4A">
      <w:pPr>
        <w:pStyle w:val="Ttulo3"/>
      </w:pPr>
      <w:bookmarkStart w:id="68" w:name="_Toc239662570"/>
      <w:r>
        <w:t>4.4 Catalogação e consultas</w:t>
      </w:r>
      <w:bookmarkEnd w:id="67"/>
      <w:bookmarkEnd w:id="68"/>
    </w:p>
    <w:p w14:paraId="1F71FDDA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camada Gold é gerada nativamente via PySpark — pela execução automatizada do Glue Job 2 ou, de forma interativa e equivalente, pelo notebook 03 rodando no Glue Notebook. As tabelas Silver e Gold são registradas no Glue Data Catalog (crawler ou DDL com MSCK REPAIR para as partições). O Amazon Athena é empregado como motor de consulta ad-hoc e validação de schema sobre esse catálogo, servindo para auditoria e execução das queries analíticas (Q1 a Q7).</w:t>
      </w:r>
    </w:p>
    <w:p w14:paraId="73246710" w14:textId="77777777" w:rsidR="00662B7B" w:rsidRDefault="00000000" w:rsidP="00587F4A">
      <w:pPr>
        <w:pStyle w:val="Ttulo3"/>
      </w:pPr>
      <w:bookmarkStart w:id="69" w:name="_Toc237938386"/>
      <w:bookmarkStart w:id="70" w:name="_Toc239662571"/>
      <w:r>
        <w:t>4.5 Métricas de qualidade do pipeline</w:t>
      </w:r>
      <w:bookmarkEnd w:id="69"/>
      <w:bookmarkEnd w:id="70"/>
    </w:p>
    <w:p w14:paraId="5692CCF8" w14:textId="77777777" w:rsidR="00135A13" w:rsidRDefault="00000000" w:rsidP="000F73CA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A Tabela 8 consolida os indicadores de execução e qualidade do fluxo — a evidência objetiva de que nenhum registro foi perdido ou inventado entre a origem e as análises.</w:t>
      </w:r>
    </w:p>
    <w:p w14:paraId="58CE1F2F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71" w:name="__RefHeading___Toc2875_1907726246"/>
      <w:bookmarkStart w:id="72" w:name="_Toc239705871"/>
      <w:bookmarkEnd w:id="71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9</w:t>
      </w:r>
      <w:r>
        <w:rPr>
          <w:rFonts w:ascii="Arial" w:hAnsi="Arial" w:cs="Arial"/>
          <w:sz w:val="20"/>
          <w:szCs w:val="20"/>
        </w:rPr>
        <w:fldChar w:fldCharType="end"/>
        <w:t xml:space="preserve"> – Métricas de execução e qualidade do pipeline.</w:t>
      </w:r>
      <w:bookmarkEnd w:id="72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4199"/>
        <w:gridCol w:w="5161"/>
      </w:tblGrid>
      <w:tr w:rsidR="00662B7B" w14:paraId="00287152" w14:textId="77777777">
        <w:trPr>
          <w:tblHeader/>
        </w:trPr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68F26C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Métrica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CCFEF9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Valor</w:t>
            </w:r>
          </w:p>
        </w:tc>
      </w:tr>
      <w:tr w:rsidR="00662B7B" w14:paraId="7FD49D84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0001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Linhas ingeridas (Bronze, 6 edições)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5FB5F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22.686</w:t>
            </w:r>
          </w:p>
        </w:tc>
      </w:tr>
      <w:tr w:rsidR="00662B7B" w14:paraId="3BA94B60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AABDA9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Linhas no núcleo harmonizado (Silver core)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DEDECF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14.005</w:t>
            </w:r>
          </w:p>
        </w:tc>
      </w:tr>
      <w:tr w:rsidR="00662B7B" w14:paraId="362BBC9E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BD74D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Registros descartados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37790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 (reconciliação 1:1)</w:t>
            </w:r>
          </w:p>
        </w:tc>
      </w:tr>
      <w:tr w:rsidR="00662B7B" w14:paraId="0443D609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6EFCB8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Tokens repetidos identificados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85F8A2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 (0,02%), mantidos — impacto estatístico nulo</w:t>
            </w:r>
          </w:p>
        </w:tc>
      </w:tr>
      <w:tr w:rsidR="00662B7B" w14:paraId="17D4651E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76BEE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Colunas harmonizadas por edição (de-para)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86A77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69</w:t>
            </w:r>
          </w:p>
        </w:tc>
      </w:tr>
      <w:tr w:rsidR="00662B7B" w14:paraId="6AEEA09C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37E94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Correções de dado documentadas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FDC15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 typo de faixa salarial (P4); booleanos TRUE/FALSE de 2024 normalizados (P7)</w:t>
            </w:r>
          </w:p>
        </w:tc>
      </w:tr>
      <w:tr w:rsidR="00662B7B" w14:paraId="60E57A5C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46C7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Tabelas analíticas na camada Gold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13064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21</w:t>
            </w:r>
          </w:p>
        </w:tc>
      </w:tr>
      <w:tr w:rsidR="00662B7B" w14:paraId="7AB58532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93F2B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Asserções de volumetria/schema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CD3216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100% aprovadas nas 6 edições</w:t>
            </w:r>
          </w:p>
        </w:tc>
      </w:tr>
    </w:tbl>
    <w:p w14:paraId="20C3B718" w14:textId="77777777" w:rsidR="000F73CA" w:rsidRDefault="00000000" w:rsidP="000F73CA">
      <w:pPr>
        <w:spacing w:after="120"/>
        <w:jc w:val="both"/>
        <w:rPr>
          <w:rFonts w:ascii="Arial" w:hAnsi="Arial"/>
          <w:color w:val="0070C0"/>
          <w:sz w:val="32"/>
          <w:szCs w:val="26"/>
        </w:rPr>
      </w:pPr>
      <w:r>
        <w:rPr>
          <w:rFonts w:ascii="Arial" w:hAnsi="Arial" w:cs="Arial"/>
          <w:color w:val="000000"/>
          <w:sz w:val="20"/>
        </w:rPr>
        <w:t>A duração de execução dos Glue Jobs 1 e 2 é documentada pelas evidências E04 e E05 (capturas do console AWS com o tempo de cada run), anexadas à pasta evidence do repositório.</w:t>
      </w:r>
      <w:bookmarkStart w:id="73" w:name="_Toc237938387"/>
    </w:p>
    <w:p w14:paraId="0F53C4CD" w14:textId="77777777" w:rsidR="00662B7B" w:rsidRDefault="00000000" w:rsidP="00587F4A">
      <w:pPr>
        <w:pStyle w:val="Ttulo2"/>
      </w:pPr>
      <w:bookmarkStart w:id="74" w:name="_Toc239662572"/>
      <w:r>
        <w:t>5. O Mercado Brasileiro de Dados (Pergunta 1)</w:t>
      </w:r>
      <w:bookmarkEnd w:id="73"/>
      <w:bookmarkEnd w:id="74"/>
    </w:p>
    <w:p w14:paraId="1BB19EFA" w14:textId="77777777" w:rsidR="00662B7B" w:rsidRDefault="00000000" w:rsidP="00587F4A">
      <w:pPr>
        <w:pStyle w:val="Ttulo3"/>
      </w:pPr>
      <w:bookmarkStart w:id="75" w:name="_Toc237938388"/>
      <w:bookmarkStart w:id="76" w:name="_Toc239662573"/>
      <w:r>
        <w:t>5.1 Base de respondentes</w:t>
      </w:r>
      <w:bookmarkEnd w:id="75"/>
      <w:bookmarkEnd w:id="76"/>
    </w:p>
    <w:p w14:paraId="082CA0A2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série reúne 22.686 respostas em seis edições (Figura 2). A queda de volume em 2025/26 (3.495 respostas) reflete a adesão à pesquisa, não o tamanho do mercado; por isso, todo o relatório trabalha com proporções, nunca com valores absolutos entre edições (premissa de leitura fundamental).</w:t>
      </w:r>
    </w:p>
    <w:p w14:paraId="331B2917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361391EC" wp14:editId="27D1CBEC">
            <wp:extent cx="5715000" cy="2971800"/>
            <wp:effectExtent l="0" t="0" r="0" b="0"/>
            <wp:docPr id="2" name="Imagem 1418453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41845387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20B6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77" w:name="_Toc239705848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fldChar w:fldCharType="end"/>
        <w:t xml:space="preserve"> – Respondentes por edição da pesquisa (cinza: contexto histórico; azul: núcleo obrigatório).</w:t>
      </w:r>
      <w:bookmarkEnd w:id="77"/>
    </w:p>
    <w:p w14:paraId="1D67B94A" w14:textId="77777777" w:rsidR="00662B7B" w:rsidRDefault="00000000" w:rsidP="00587F4A">
      <w:pPr>
        <w:pStyle w:val="Ttulo3"/>
      </w:pPr>
      <w:bookmarkStart w:id="78" w:name="_Toc237938389"/>
      <w:bookmarkStart w:id="79" w:name="_Toc239662574"/>
      <w:r>
        <w:t>5.2 Perfis profissionais</w:t>
      </w:r>
      <w:bookmarkEnd w:id="78"/>
      <w:bookmarkEnd w:id="79"/>
    </w:p>
    <w:p w14:paraId="2F3C1730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distribuição por grupos de cargo em 2025/26 (Figura 3 e Tabela 9) mostra a consolidação de quatro grandes famílias — Análise de Dados, Engenharia/Arquitetura, Ciência de Dados e BI — com presença crescente de Analytics Engineer e ML/AI Engineer, cargos que praticamente não existiam nas primeiras edições.</w:t>
      </w:r>
    </w:p>
    <w:p w14:paraId="2F5254F8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3688F7A0" wp14:editId="3F907544">
            <wp:extent cx="5715000" cy="2971800"/>
            <wp:effectExtent l="0" t="0" r="0" b="0"/>
            <wp:docPr id="3" name="Imagem 77727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77727095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8158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80" w:name="_Toc239705849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fldChar w:fldCharType="end"/>
        <w:t xml:space="preserve"> – Participação por grupo de cargo entre contribuidores individuais — 2025/26 (top 9).</w:t>
      </w:r>
      <w:bookmarkEnd w:id="80"/>
    </w:p>
    <w:p w14:paraId="0378B8E1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81" w:name="__RefHeading___Toc2873_1907726246"/>
      <w:bookmarkStart w:id="82" w:name="_Toc239705872"/>
      <w:bookmarkEnd w:id="81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fldChar w:fldCharType="end"/>
        <w:t xml:space="preserve"> – Principais grupos de cargo — 2025/26 (contribuidores individuais, top 9).</w:t>
      </w:r>
      <w:bookmarkEnd w:id="82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5353"/>
        <w:gridCol w:w="2003"/>
        <w:gridCol w:w="2004"/>
      </w:tblGrid>
      <w:tr w:rsidR="00662B7B" w14:paraId="65225180" w14:textId="77777777">
        <w:trPr>
          <w:tblHeader/>
        </w:trPr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959542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Grupo de cargo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2FE096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n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6BC695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%</w:t>
            </w:r>
          </w:p>
        </w:tc>
      </w:tr>
      <w:tr w:rsidR="00662B7B" w14:paraId="0CDE60AA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9D87F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Análise de Dados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71C1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599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7CE80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24,0%</w:t>
            </w:r>
          </w:p>
        </w:tc>
      </w:tr>
      <w:tr w:rsidR="00662B7B" w14:paraId="43DD368C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2F007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Engenharia/Arquitetura de Dados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32F57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430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5FF07D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17,2%</w:t>
            </w:r>
          </w:p>
        </w:tc>
      </w:tr>
      <w:tr w:rsidR="00662B7B" w14:paraId="25D270B6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2787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Ciência de Dados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5464B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424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A99C0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17,0%</w:t>
            </w:r>
          </w:p>
        </w:tc>
      </w:tr>
      <w:tr w:rsidR="00662B7B" w14:paraId="363FD62B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53ABF4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Outros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9C7B88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287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DFE779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11,5%</w:t>
            </w:r>
          </w:p>
        </w:tc>
      </w:tr>
      <w:tr w:rsidR="00662B7B" w14:paraId="12C835A8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080D6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Business Intelligence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F81EB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215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BE04B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8,6%</w:t>
            </w:r>
          </w:p>
        </w:tc>
      </w:tr>
      <w:tr w:rsidR="00662B7B" w14:paraId="12C32B03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5BF189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Análise de Negócios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1F394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141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BE59CF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5,6%</w:t>
            </w:r>
          </w:p>
        </w:tc>
      </w:tr>
      <w:tr w:rsidR="00662B7B" w14:paraId="1CABA939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55DAE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Analytics Engineer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C587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135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9B9B8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5,4%</w:t>
            </w:r>
          </w:p>
        </w:tc>
      </w:tr>
      <w:tr w:rsidR="00662B7B" w14:paraId="2231000E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87B55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Eng. de Software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143B47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106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D6E795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4,2%</w:t>
            </w:r>
          </w:p>
        </w:tc>
      </w:tr>
      <w:tr w:rsidR="00662B7B" w14:paraId="49DE401C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DBD49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ML/AI Engineer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77142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106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4CBC3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4,2%</w:t>
            </w:r>
          </w:p>
        </w:tc>
      </w:tr>
    </w:tbl>
    <w:p w14:paraId="6E4E44D1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4BB2ED2D" w14:textId="77777777" w:rsidR="000F73CA" w:rsidRDefault="00000000" w:rsidP="000F73CA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Registra-se um empate real de amostragem entre Eng. de Software e ML/AI Engineer (n = 106 cada; 4,2%) — verificado na camada Gold, sem qualquer troca de rótulos ou agrupamento acidental. O ML/AI Engineer, embora ainda pequeno em volume, é o grupo de maior mediana salarial do mercado (R$ 18.001 — Seção 6.2), o que o torna o perfil mais estratégico a monitorar. O grupo “Outros” (11,5%) também não é residual arbitrário: dos 287 registros, 206 correspondem a respondentes que selecionaram a própria opção “Outra Opção” do questionário, 55 a Analista de Suporte/Analista Técnico e 26 a Outras Engenharias (não desenvolvimento). Funções como Professor/Pesquisador e Estatístico recebem categoria própria no agrupamento (premissa P5) e ficam fora da Tabela 9 apenas por volume inferior ao corte do top 9.</w:t>
      </w:r>
      <w:bookmarkStart w:id="83" w:name="_Toc237938390"/>
    </w:p>
    <w:p w14:paraId="2A41BCBA" w14:textId="77777777" w:rsidR="00662B7B" w:rsidRDefault="00000000" w:rsidP="000F73CA">
      <w:pPr>
        <w:pStyle w:val="Ttulo3"/>
      </w:pPr>
      <w:bookmarkStart w:id="84" w:name="_Toc239662575"/>
      <w:r>
        <w:t>5.3 Senioridade</w:t>
      </w:r>
      <w:bookmarkEnd w:id="83"/>
      <w:bookmarkEnd w:id="84"/>
    </w:p>
    <w:p w14:paraId="36F1FC32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pirâmide de senioridade (Figura 4) mostra um mercado que amadureceu, mas exige leitura cuidadosa: em 2025/26 a pesquisa criou a categoria Especialista/Staff+, que absorveu parte de quem antes se declarava Sênior. Por isso a barra “Sênior” aparece menor em 2025/26 (34,3%) do que em 2024 (41,2%), sem que isso signifique retração do topo. Somando as duas categorias, a evolução é inequívoca: os profissionais de nível Sênior ou acima passaram de 36,8% (2023) para 41,2% (2024) e 48,3% (2025/26) — avanço de 11,5 pontos percentuais em duas edições. Na base, o movimento é simétrico: os Júnior recuaram de 27,1% para 20,7%. Para o cliente, isso significa concorrência mais dura por profissionais experientes e oportunidade real em programas de formação de base.</w:t>
      </w:r>
    </w:p>
    <w:p w14:paraId="7C64CEB8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23EF77C3" wp14:editId="34D24750">
            <wp:extent cx="5715000" cy="2971800"/>
            <wp:effectExtent l="0" t="0" r="0" b="0"/>
            <wp:docPr id="4" name="Imagem 1492825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49282537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70C4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85" w:name="_Toc239705850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fldChar w:fldCharType="end"/>
        <w:t xml:space="preserve"> – Pirâmide de senioridade por edição (Especialista/Staff+ existe apenas em 2025/26).</w:t>
      </w:r>
      <w:bookmarkEnd w:id="85"/>
    </w:p>
    <w:p w14:paraId="4901D5B6" w14:textId="77777777" w:rsidR="00662B7B" w:rsidRDefault="00000000" w:rsidP="00587F4A">
      <w:pPr>
        <w:pStyle w:val="Ttulo2"/>
      </w:pPr>
      <w:bookmarkStart w:id="86" w:name="_Toc237938391"/>
      <w:bookmarkStart w:id="87" w:name="_Toc239662576"/>
      <w:r>
        <w:t>6. Perfis Valorizados e Remuneração (Pergunta 2)</w:t>
      </w:r>
      <w:bookmarkEnd w:id="86"/>
      <w:bookmarkEnd w:id="87"/>
    </w:p>
    <w:p w14:paraId="66707E08" w14:textId="77777777" w:rsidR="00662B7B" w:rsidRDefault="00000000" w:rsidP="00587F4A">
      <w:pPr>
        <w:pStyle w:val="Ttulo3"/>
      </w:pPr>
      <w:bookmarkStart w:id="88" w:name="_Toc237938392"/>
      <w:bookmarkStart w:id="89" w:name="_Toc239662577"/>
      <w:r>
        <w:t>6.1 A escada salarial por senioridade</w:t>
      </w:r>
      <w:bookmarkEnd w:id="88"/>
      <w:bookmarkEnd w:id="89"/>
    </w:p>
    <w:p w14:paraId="049FEDB9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mediana estimada por ponto médio de faixa (premissa P3) em 2025/26 é de R$ 3.501 (Júnior), R$ 7.001 (Pleno), R$ 14.001 (Sênior) e R$ 18.001 (Especialista/Staff+) — cada degrau até o nível Sênior aproximadamente dobra a remuneração (Figura 5 e Tabela 10). Um ponto merece destaque justamente por não aparecer: entre 2023 e 2025/26 as medianas de Júnior (R$ 3.501) e Pleno (R$ 7.001) permaneceram idênticas em termos nominais, enquanto a do nível Sênior subiu de R$ 10.001 para R$ 14.001. Como os valores não são deflacionados, estabilidade nominal por três anos significa perda de poder de compra real na base da pirâmide: o mercado não apenas encareceu o topo — concentrou nele todo o ganho do período.</w:t>
      </w:r>
    </w:p>
    <w:p w14:paraId="066F8C81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020688E1" wp14:editId="4FBDD7C9">
            <wp:extent cx="5715000" cy="2971800"/>
            <wp:effectExtent l="0" t="0" r="0" b="0"/>
            <wp:docPr id="5" name="Imagem 158225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158225547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F07B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90" w:name="_Toc239705851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fldChar w:fldCharType="end"/>
        <w:t xml:space="preserve"> – Salário mediano estimado por senioridade e edição (ponto médio de faixa — premissa P3).</w:t>
      </w:r>
      <w:bookmarkEnd w:id="90"/>
    </w:p>
    <w:p w14:paraId="14AF5A54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91" w:name="__RefHeading___Toc2871_1907726246"/>
      <w:bookmarkStart w:id="92" w:name="_Toc239705873"/>
      <w:bookmarkEnd w:id="91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11</w:t>
      </w:r>
      <w:r>
        <w:rPr>
          <w:rFonts w:ascii="Arial" w:hAnsi="Arial" w:cs="Arial"/>
          <w:sz w:val="20"/>
          <w:szCs w:val="20"/>
        </w:rPr>
        <w:fldChar w:fldCharType="end"/>
        <w:t xml:space="preserve"> – Salário mediano estimado (R$/mês, ponto médio) por senioridade e edição.</w:t>
      </w:r>
      <w:bookmarkEnd w:id="92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3361"/>
        <w:gridCol w:w="1999"/>
        <w:gridCol w:w="2000"/>
        <w:gridCol w:w="2000"/>
      </w:tblGrid>
      <w:tr w:rsidR="00662B7B" w14:paraId="12ABB4EE" w14:textId="77777777">
        <w:trPr>
          <w:tblHeader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2629127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Nível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0B675A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2CC40A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0D9129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2025/26</w:t>
            </w:r>
          </w:p>
        </w:tc>
      </w:tr>
      <w:tr w:rsidR="00662B7B" w14:paraId="4BA4B9BE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48C22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Júnior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4D857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R$ 3.501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63FF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R$ 3.501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D175E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R$ 3.501</w:t>
            </w:r>
          </w:p>
        </w:tc>
      </w:tr>
      <w:tr w:rsidR="00662B7B" w14:paraId="09AEEC4B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97688E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Pleno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36F392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R$ 7.001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F02CD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R$ 7.001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4F5EDC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R$ 7.001</w:t>
            </w:r>
          </w:p>
        </w:tc>
      </w:tr>
      <w:tr w:rsidR="00662B7B" w14:paraId="14EE123F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ABB14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Sênior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BD5EF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R$ 10.001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F1FA7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223F9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</w:tr>
      <w:tr w:rsidR="00662B7B" w14:paraId="61923C02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C3EA99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Especialista/Staff+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AFBFFB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8EA3E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B323E7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R$ 18.001</w:t>
            </w:r>
          </w:p>
        </w:tc>
      </w:tr>
    </w:tbl>
    <w:p w14:paraId="4214F317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38BE9571" w14:textId="77777777" w:rsidR="00662B7B" w:rsidRDefault="00000000" w:rsidP="00E27960">
      <w:pPr>
        <w:pStyle w:val="Ttulo3"/>
      </w:pPr>
      <w:bookmarkStart w:id="93" w:name="_Toc237938393"/>
      <w:bookmarkStart w:id="94" w:name="_Toc239662578"/>
      <w:r>
        <w:t>6.2 Prêmio por especialização</w:t>
      </w:r>
      <w:bookmarkEnd w:id="93"/>
      <w:bookmarkEnd w:id="94"/>
    </w:p>
    <w:p w14:paraId="0277F2F6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Entre cargos (Figura 6), os maiores prêmios de mediana em 2025/26 estão nas funções de engenharia e ciência aplicada — exatamente os perfis que constroem plataforma e produtos de IA. Para a instituição financeira, o recado é direto: o orçamento de contratação deve considerar bandas distintas por família de cargo, não uma tabela única de “profissional de dados”.</w:t>
      </w:r>
    </w:p>
    <w:p w14:paraId="4EB071DA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410C0EC4" wp14:editId="069F5065">
            <wp:extent cx="5715000" cy="2971800"/>
            <wp:effectExtent l="0" t="0" r="0" b="0"/>
            <wp:docPr id="6" name="Imagem 46396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46396123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91A9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95" w:name="_Toc239705852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fldChar w:fldCharType="end"/>
        <w:t xml:space="preserve"> – Salário mediano estimado por grupo de cargo — 2025/26 (grupos com n ≥ 30).</w:t>
      </w:r>
      <w:bookmarkEnd w:id="95"/>
    </w:p>
    <w:p w14:paraId="173CEC98" w14:textId="77777777" w:rsidR="00662B7B" w:rsidRDefault="00000000" w:rsidP="00E27960">
      <w:pPr>
        <w:pStyle w:val="Ttulo3"/>
      </w:pPr>
      <w:bookmarkStart w:id="96" w:name="_Toc237938394"/>
      <w:bookmarkStart w:id="97" w:name="_Toc239662579"/>
      <w:r>
        <w:t>6.3 Controle por senioridade: o prêmio de cargo é real?</w:t>
      </w:r>
      <w:bookmarkEnd w:id="96"/>
      <w:bookmarkEnd w:id="97"/>
    </w:p>
    <w:p w14:paraId="174D41C9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comparação de medianas entre grupos de cargo (Figura 6) carrega um risco metodológico conhecido: </w:t>
      </w:r>
      <w:r>
        <w:rPr>
          <w:rFonts w:ascii="Arial" w:hAnsi="Arial" w:cs="Arial"/>
          <w:b/>
          <w:color w:val="000000"/>
          <w:sz w:val="20"/>
        </w:rPr>
        <w:t>a composição de senioridade não é homogênea entre os grupos</w:t>
      </w:r>
      <w:r>
        <w:rPr>
          <w:rFonts w:ascii="Arial" w:hAnsi="Arial" w:cs="Arial"/>
          <w:color w:val="000000"/>
          <w:sz w:val="20"/>
        </w:rPr>
        <w:t>. Entre os respondentes de 2025/26, a proporção de profissionais Sênior ou acima varia de 35,3% (Business Intelligence) a 65,1% (ML/AI Engineer) — e chega a 87,9% em Produto. Sem controle, parte do que se leria como “prêmio de cargo” seria, na verdade, efeito de um grupo simplesmente conter mais profissionais experientes. Aplicou-se, portanto, o mesmo tratamento usado na análise de gênero (Seção 7.2): fixar o nível de senioridade e comparar apenas dentro dele.</w:t>
      </w:r>
    </w:p>
    <w:p w14:paraId="09E1893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Tabela 11 apresenta o recorte do nível Sênior — o mais populoso da base e o mais relevante para a estratégia de contratação do cliente. </w:t>
      </w:r>
      <w:r>
        <w:rPr>
          <w:rFonts w:ascii="Arial" w:hAnsi="Arial" w:cs="Arial"/>
          <w:b/>
          <w:color w:val="000000"/>
          <w:sz w:val="20"/>
        </w:rPr>
        <w:t>A hierarquia de três patamares se mantém integralmente</w:t>
      </w:r>
      <w:r>
        <w:rPr>
          <w:rFonts w:ascii="Arial" w:hAnsi="Arial" w:cs="Arial"/>
          <w:color w:val="000000"/>
          <w:sz w:val="20"/>
        </w:rPr>
        <w:t>, o que indica que a diferença reflete o cargo em si, e não a composição de senioridade dos grupos: ML/AI Engineer no topo, um bloco intermediário de funções técnicas e de plataforma, e os perfis analíticos de negócio no patamar inferior. O mesmo padrão se repete nos níveis Júnior e Pleno. Estes números estão materializados na tabela Gold gold_salary_by_role_seniority, adicionada à camada Gold para tornar este recorte auditável e reprodutível a partir do pipeline.</w:t>
      </w:r>
    </w:p>
    <w:p w14:paraId="2C592074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98" w:name="_Toc239705874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12</w:t>
      </w:r>
      <w:r>
        <w:rPr>
          <w:rFonts w:ascii="Arial" w:hAnsi="Arial" w:cs="Arial"/>
          <w:sz w:val="20"/>
          <w:szCs w:val="20"/>
        </w:rPr>
        <w:fldChar w:fldCharType="end"/>
        <w:t xml:space="preserve"> – Salário mediano por grupo de cargo no nível Sênior — 2025/26 (controle de composição).</w:t>
      </w:r>
      <w:bookmarkEnd w:id="98"/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1900"/>
        <w:gridCol w:w="2204"/>
        <w:gridCol w:w="1696"/>
      </w:tblGrid>
      <w:tr w:rsidR="00662B7B" w14:paraId="457FDA63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723EBB1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Grupo de cargo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6B9C16A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% Sênior+ no grupo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5E1CFE0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Mediana (nível Sênior)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1949F67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n (Sênior)</w:t>
            </w:r>
          </w:p>
        </w:tc>
      </w:tr>
      <w:tr w:rsidR="00662B7B" w14:paraId="64AE8E9B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E9EE8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ML/AI Engineer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71178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65,1%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A03F0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R$ 18.001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9ED71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42</w:t>
            </w:r>
          </w:p>
        </w:tc>
      </w:tr>
      <w:tr w:rsidR="00662B7B" w14:paraId="3EB3AF15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7A1B6D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Analytics Engineer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1EF0F9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61,5%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B371A3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BF6309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59</w:t>
            </w:r>
          </w:p>
        </w:tc>
      </w:tr>
      <w:tr w:rsidR="00662B7B" w14:paraId="4350F593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508D6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Engenharia/Arquitetura de Dados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4C600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62,1%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0E048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D08A2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192</w:t>
            </w:r>
          </w:p>
        </w:tc>
      </w:tr>
      <w:tr w:rsidR="00662B7B" w14:paraId="5932C8F1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3E9E87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Ciência de Dados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F87CB7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51,7%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7954A7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55717A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147</w:t>
            </w:r>
          </w:p>
        </w:tc>
      </w:tr>
      <w:tr w:rsidR="00662B7B" w14:paraId="1B16C848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53A1A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Eng. de Software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6CCD1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51,9%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05EF1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B2DEB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41</w:t>
            </w:r>
          </w:p>
        </w:tc>
      </w:tr>
      <w:tr w:rsidR="00662B7B" w14:paraId="30B93EEC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40E35A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Produto (DPM/PM)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02DADD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87,9%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37337A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—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62B932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—</w:t>
            </w:r>
          </w:p>
        </w:tc>
      </w:tr>
      <w:tr w:rsidR="00662B7B" w14:paraId="0291D285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AFB1F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Análise de Dados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4AF61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40,6%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D0CF3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R$ 10.001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AB380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184</w:t>
            </w:r>
          </w:p>
        </w:tc>
      </w:tr>
      <w:tr w:rsidR="00662B7B" w14:paraId="0C6A5C34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F45E79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Business Intelligence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7D2A3A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35,3%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6DD7B6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R$ 10.001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9D35B8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59</w:t>
            </w:r>
          </w:p>
        </w:tc>
      </w:tr>
      <w:tr w:rsidR="00662B7B" w14:paraId="1FF3A392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5FDF6D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Análise de Negócios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0B3CB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46,8%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2492A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R$ 10.001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1A81D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48</w:t>
            </w:r>
          </w:p>
        </w:tc>
      </w:tr>
    </w:tbl>
    <w:p w14:paraId="60D6CDC3" w14:textId="77777777" w:rsidR="00662B7B" w:rsidRDefault="00000000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i/>
          <w:iCs/>
          <w:color w:val="000000"/>
          <w:sz w:val="20"/>
        </w:rPr>
        <w:t xml:space="preserve">Nota: "Sênior+" inclui Especialista/Staff+ no numerador do percentual; as colunas de mediana e n consideram apenas o nível Sênior stricto sensu (Especialista/Staff+ é tratado à parte na Tabela 10). Em Produto (DPM/PM), mediana e n aparecem como “—”: o subconjunto Sênior tem apenas 19 pessoas, abaixo do corte de estabilidade da Premissa P8 (n ≥ 30); o percentual Sênior+ (87,9%) permanece porque é calculado sobre os 33 respondentes do grupo total, que atende ao corte.</w:t>
      </w:r>
    </w:p>
    <w:p w14:paraId="2BA094BF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4A77343C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O controle também corrige duas leituras que a visão agregada induziria ao erro. Primeira: </w:t>
      </w:r>
      <w:r>
        <w:rPr>
          <w:rFonts w:ascii="Arial" w:hAnsi="Arial" w:cs="Arial"/>
          <w:b/>
          <w:color w:val="000000"/>
          <w:sz w:val="20"/>
        </w:rPr>
        <w:t>Ciência de Dados e Engenharia/Arquitetura de Dados são equivalentes</w:t>
      </w:r>
      <w:r>
        <w:rPr>
          <w:rFonts w:ascii="Arial" w:hAnsi="Arial" w:cs="Arial"/>
          <w:color w:val="000000"/>
          <w:sz w:val="20"/>
        </w:rPr>
        <w:t xml:space="preserve"> quando o nível é fixado (R$ 14.001 no Sênior, R$ 18.001 no Especialista/Staff+); a diferença observada na Figura 6 decorre da composição (51,7% contra 62,1% de sênior+), não do cargo em si. Segunda: a mediana bruta </w:t>
      </w:r>
      <w:r>
        <w:rPr>
          <w:rFonts w:ascii="Arial" w:hAnsi="Arial" w:cs="Arial"/>
          <w:b/>
          <w:color w:val="000000"/>
          <w:sz w:val="20"/>
        </w:rPr>
        <w:t>subestima o topo do ML/AI Engineer</w:t>
      </w:r>
      <w:r>
        <w:rPr>
          <w:rFonts w:ascii="Arial" w:hAnsi="Arial" w:cs="Arial"/>
          <w:color w:val="000000"/>
          <w:sz w:val="20"/>
        </w:rPr>
        <w:t>, pois o grupo carrega 19,8% de profissionais Júnior — no nível Especialista/Staff+ sua mediana aproxima-se de R$ 27.500 (n = 27). Para o cliente, a consequência prática é direta: bandas salariais devem ser definidas pelo cruzamento cargo × senioridade, nunca por cargo isoladamente.</w:t>
      </w:r>
      <w:bookmarkStart w:id="99" w:name="_Toc237938395"/>
    </w:p>
    <w:p w14:paraId="5A1BBB43" w14:textId="77777777" w:rsidR="00662B7B" w:rsidRDefault="00000000" w:rsidP="00587F4A">
      <w:pPr>
        <w:pStyle w:val="Ttulo2"/>
      </w:pPr>
      <w:bookmarkStart w:id="100" w:name="_Toc239662580"/>
      <w:r>
        <w:t>7. Diversidade de Gênero (Pergunta 3)</w:t>
      </w:r>
      <w:bookmarkEnd w:id="99"/>
      <w:bookmarkEnd w:id="100"/>
    </w:p>
    <w:p w14:paraId="74EBCE88" w14:textId="77777777" w:rsidR="00662B7B" w:rsidRDefault="00000000" w:rsidP="00E27960">
      <w:pPr>
        <w:pStyle w:val="Ttulo3"/>
      </w:pPr>
      <w:bookmarkStart w:id="101" w:name="_Toc237938396"/>
      <w:bookmarkStart w:id="102" w:name="_Toc239662581"/>
      <w:r>
        <w:t>7.1 Participação feminina</w:t>
      </w:r>
      <w:bookmarkEnd w:id="101"/>
      <w:bookmarkEnd w:id="102"/>
    </w:p>
    <w:p w14:paraId="155F2567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participação feminina foi de 18,5% em 2019 ao pico de 24,8% em 2022 e recuou para 22,0% em 2025/26 — retração de 2,8 pontos percentuais (p.p.) frente ao pico (Figura 7). O avanço da década estagnou: um em cada cinco profissionais de dados é mulher.</w:t>
      </w:r>
    </w:p>
    <w:p w14:paraId="7E2AACC4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28DBE858" wp14:editId="176D2D8C">
            <wp:extent cx="5715000" cy="2971800"/>
            <wp:effectExtent l="0" t="0" r="0" b="0"/>
            <wp:docPr id="7" name="Imagem 97359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9735902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DEED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03" w:name="_Toc239705853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fldChar w:fldCharType="end"/>
        <w:t xml:space="preserve"> – Participação feminina entre os profissionais de dados — série 2019 a 2025/26.</w:t>
      </w:r>
      <w:bookmarkEnd w:id="103"/>
    </w:p>
    <w:p w14:paraId="289F1060" w14:textId="77777777" w:rsidR="00662B7B" w:rsidRDefault="00000000" w:rsidP="00E27960">
      <w:pPr>
        <w:pStyle w:val="Ttulo3"/>
      </w:pPr>
      <w:bookmarkStart w:id="104" w:name="_Toc237938397"/>
      <w:bookmarkStart w:id="105" w:name="_Toc239662582"/>
      <w:r>
        <w:t>7.2 Gap salarial controlado por senioridade</w:t>
      </w:r>
      <w:bookmarkEnd w:id="104"/>
      <w:bookmarkEnd w:id="105"/>
    </w:p>
    <w:p w14:paraId="79440A63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A comparação bruta de salários seria enganosa; controlando por senioridade (Figura 8 e Tabela 12), as medianas são iguais nos níveis Júnior e Pleno, mas abre-se um gap de </w:t>
      </w:r>
      <w:r>
        <w:rPr>
          <w:rFonts w:ascii="Arial" w:hAnsi="Arial" w:cs="Arial"/>
          <w:b/>
          <w:bCs/>
          <w:color w:val="000000"/>
          <w:sz w:val="20"/>
        </w:rPr>
        <w:t>−28,6% no nível Sênior</w:t>
      </w:r>
      <w:r>
        <w:rPr>
          <w:rFonts w:ascii="Arial" w:hAnsi="Arial" w:cs="Arial"/>
          <w:color w:val="000000"/>
          <w:sz w:val="20"/>
        </w:rPr>
        <w:t xml:space="preserve"> — R$ 4.000 mensais na mediana (R$ 14.001 vs R$ 10.001) — e diferença relevante também no topo (Especialista/Staff+). O problema do mercado não é a porta de entrada; é a progressão — e a Seção 7.4 decompõe esse gap em suas duas causas.</w:t>
      </w:r>
    </w:p>
    <w:p w14:paraId="424F7E29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52790277" wp14:editId="07606853">
            <wp:extent cx="5715000" cy="2971800"/>
            <wp:effectExtent l="0" t="0" r="0" b="0"/>
            <wp:docPr id="8" name="Imagem 193017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9301753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D105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06" w:name="_Toc239705854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8</w:t>
      </w:r>
      <w:r>
        <w:rPr>
          <w:rFonts w:ascii="Arial" w:hAnsi="Arial" w:cs="Arial"/>
          <w:sz w:val="20"/>
          <w:szCs w:val="20"/>
        </w:rPr>
        <w:fldChar w:fldCharType="end"/>
        <w:t xml:space="preserve"> – Salário mediano por gênero, controlado por senioridade — 2025/26.</w:t>
      </w:r>
      <w:bookmarkEnd w:id="106"/>
    </w:p>
    <w:p w14:paraId="070A9CC3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07" w:name="_Toc239705875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fldChar w:fldCharType="end"/>
        <w:t xml:space="preserve"> – Mediana salarial estimada por gênero e nível — 2025/26.</w:t>
      </w:r>
      <w:bookmarkEnd w:id="107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761"/>
        <w:gridCol w:w="2199"/>
        <w:gridCol w:w="2201"/>
        <w:gridCol w:w="2199"/>
      </w:tblGrid>
      <w:tr w:rsidR="00662B7B" w14:paraId="3907F7CF" w14:textId="77777777">
        <w:trPr>
          <w:tblHeader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D2CA68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Nível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4FE548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Feminino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BFD88B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Masculino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287203C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Diferença (F abaixo de M)</w:t>
            </w:r>
          </w:p>
        </w:tc>
      </w:tr>
      <w:tr w:rsidR="00662B7B" w14:paraId="7438C714" w14:textId="77777777"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BA861D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Júnior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B7A5B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R$ 3.501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CD9C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R$ 3.501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1CCED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0,0%</w:t>
            </w:r>
          </w:p>
        </w:tc>
      </w:tr>
      <w:tr w:rsidR="00662B7B" w14:paraId="5185B76C" w14:textId="77777777"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13A3F7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Pleno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2A1224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R$ 7.001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AACCF2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R$ 7.001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294622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0,0%</w:t>
            </w:r>
          </w:p>
        </w:tc>
      </w:tr>
      <w:tr w:rsidR="00662B7B" w14:paraId="51BD8762" w14:textId="77777777"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DA9AD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Sênior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73774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R$ 10.001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B3058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8E59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28,6%</w:t>
            </w:r>
          </w:p>
        </w:tc>
      </w:tr>
      <w:tr w:rsidR="00662B7B" w14:paraId="1D96545F" w14:textId="77777777"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FFA22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Especialista/Staff+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FFC8D0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BC38A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R$ 18.001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DD69EC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22,2%</w:t>
            </w:r>
          </w:p>
        </w:tc>
      </w:tr>
    </w:tbl>
    <w:p w14:paraId="2B2F81B3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588F8AEA" w14:textId="77777777" w:rsidR="00662B7B" w:rsidRDefault="00000000" w:rsidP="00E27960">
      <w:pPr>
        <w:pStyle w:val="Ttulo3"/>
      </w:pPr>
      <w:bookmarkStart w:id="108" w:name="_Toc237938398"/>
      <w:bookmarkStart w:id="109" w:name="_Toc239662583"/>
      <w:r>
        <w:t>7.3 Liderança</w:t>
      </w:r>
      <w:bookmarkEnd w:id="108"/>
      <w:bookmarkEnd w:id="109"/>
    </w:p>
    <w:p w14:paraId="15D1198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Entre respondentes empregados de 2025/26, 19,1% das mulheres ocupam posição de gestão, contra 23,6% dos homens — a diferença na liderança acompanha o gap de progressão da subseção anterior e indica onde políticas de D&amp;I têm maior alavancagem: promoção e retenção, não apenas contratação.</w:t>
      </w:r>
    </w:p>
    <w:p w14:paraId="11CC7CA7" w14:textId="77777777" w:rsidR="00662B7B" w:rsidRDefault="00000000" w:rsidP="00E27960">
      <w:pPr>
        <w:pStyle w:val="Ttulo3"/>
      </w:pPr>
      <w:bookmarkStart w:id="110" w:name="_Toc237938399"/>
      <w:bookmarkStart w:id="111" w:name="_Toc239662584"/>
      <w:r>
        <w:t>7.4 Decompondo o gap: composição de cargo e diferença residual</w:t>
      </w:r>
      <w:bookmarkEnd w:id="110"/>
      <w:bookmarkEnd w:id="111"/>
    </w:p>
    <w:p w14:paraId="6CD6BFC6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O controle por senioridade da subseção anterior deixa uma pergunta em aberto: dentro do nível Sênior, homens e mulheres ocupam os mesmos cargos? A resposta é não — e isso decompõe o gap em duas causas distintas.</w:t>
      </w:r>
    </w:p>
    <w:p w14:paraId="0587F61C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Causa 1 — composição de cargo. </w:t>
      </w:r>
      <w:r>
        <w:rPr>
          <w:rFonts w:ascii="Arial" w:hAnsi="Arial" w:cs="Arial"/>
          <w:color w:val="000000"/>
          <w:sz w:val="20"/>
        </w:rPr>
        <w:t>Entre os profissionais Sênior, as mulheres estão bem menos representadas em Engenharia/Arquitetura de Dados (14,0% delas, contra 24,7% dos homens), justamente a família de maior remuneração, e mais concentradas em Análise de Dados (23,6% contra 21,0%), de patamar inferior. Parte do gap agregado é, portanto, efeito de acesso desigual às trilhas mais bem pagas. Estes números estão materializados na tabela Gold gold_gender_role_seniority, adicionada à camada Gold para tornar este recorte auditável e reprodutível a partir do pipeline.</w:t>
      </w:r>
    </w:p>
    <w:p w14:paraId="4BF9484B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Causa 2 — diferença residual dentro do mesmo cargo. </w:t>
      </w:r>
      <w:r>
        <w:rPr>
          <w:rFonts w:ascii="Arial" w:hAnsi="Arial" w:cs="Arial"/>
          <w:color w:val="000000"/>
          <w:sz w:val="20"/>
        </w:rPr>
        <w:t xml:space="preserve">O gap não desaparece quando cargo e senioridade são fixados simultaneamente, mas deixa de ser uniforme: em Ciência de Dados e Análise de Dados as medianas são idênticas entre gêneros; em Engenharia/Arquitetura de Dados, ao contrário, a mediana feminina fica 28,6% abaixo da masculina no mesmo nível. Estes valores (R$ 10.001 feminino, R$ 14.001 masculino) também estão na coluna salario_mediano_pm de gold_gender_role_seniority, tornando a Causa 2 igualmente auditável a partir do pipeline.</w:t>
      </w:r>
    </w:p>
    <w:p w14:paraId="355740F6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Leitura adotada. </w:t>
      </w:r>
      <w:r>
        <w:rPr>
          <w:rFonts w:ascii="Arial" w:hAnsi="Arial" w:cs="Arial"/>
          <w:color w:val="000000"/>
          <w:sz w:val="20"/>
        </w:rPr>
        <w:t>O projeto adota as duas causas como complementares, atribuindo prioridade à Causa 1 por dois motivos: ela se apoia em amostra mais robusta — entre os sêniores de Engenharia/Arquitetura há 167 homens e apenas 25 mulheres — e é diretamente acionável por política de atração e mobilidade interna. A Causa 2 é declarada como sinal relevante, porém não conclusivo: com base feminina reduzida em cada célula de cargo (25 em Engenharia, 15 em Business Intelligence), e sem inferência estatística aplicável a esta amostra (Seção 2.6), ela indica onde investigar, não o que afirmar. A recomendação de diversidade da Seção 12.1 contempla as duas frentes.</w:t>
      </w:r>
      <w:bookmarkStart w:id="112" w:name="_Toc237938400"/>
    </w:p>
    <w:p w14:paraId="6F63DD6E" w14:textId="77777777" w:rsidR="00662B7B" w:rsidRDefault="00000000" w:rsidP="00587F4A">
      <w:pPr>
        <w:pStyle w:val="Ttulo2"/>
      </w:pPr>
      <w:bookmarkStart w:id="113" w:name="_Toc239662585"/>
      <w:r>
        <w:t>8. Tecnologias com Maior Adoção (Pergunta 4)</w:t>
      </w:r>
      <w:bookmarkEnd w:id="112"/>
      <w:bookmarkEnd w:id="113"/>
    </w:p>
    <w:p w14:paraId="6532AA69" w14:textId="77777777" w:rsidR="00662B7B" w:rsidRDefault="00000000" w:rsidP="00E27960">
      <w:pPr>
        <w:pStyle w:val="Ttulo3"/>
      </w:pPr>
      <w:bookmarkStart w:id="114" w:name="_Toc237938401"/>
      <w:bookmarkStart w:id="115" w:name="_Toc239662586"/>
      <w:r>
        <w:t>8.1 Linguagens</w:t>
      </w:r>
      <w:bookmarkEnd w:id="114"/>
      <w:bookmarkEnd w:id="115"/>
    </w:p>
    <w:p w14:paraId="63C07C19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Python saltou de 44,4% (2019) para </w:t>
      </w:r>
      <w:r>
        <w:rPr>
          <w:rFonts w:ascii="Arial" w:hAnsi="Arial" w:cs="Arial"/>
          <w:b/>
          <w:bCs/>
          <w:color w:val="000000"/>
          <w:sz w:val="20"/>
        </w:rPr>
        <w:t>92,0%</w:t>
      </w:r>
      <w:r>
        <w:rPr>
          <w:rFonts w:ascii="Arial" w:hAnsi="Arial" w:cs="Arial"/>
          <w:color w:val="000000"/>
          <w:sz w:val="20"/>
        </w:rPr>
        <w:t xml:space="preserve"> (2025/26) — avanço de 47,6 p.p., um crescimento relativo de 2,1 vezes — e SQL mantém-se em 84,2%; este par forma a alfabetização mínima do mercado (Figura 9). R recuou para nicho estatístico (15,6%). Currículos de capacitação interna devem tratar Python + SQL como pré-requisito, não como diferencial.</w:t>
      </w:r>
    </w:p>
    <w:p w14:paraId="6A65B1E2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188EEA82" wp14:editId="3DC7331A">
            <wp:extent cx="5715000" cy="2971800"/>
            <wp:effectExtent l="0" t="0" r="0" b="0"/>
            <wp:docPr id="9" name="Imagem 1709534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170953488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0D08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16" w:name="_Toc239705855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9</w:t>
      </w:r>
      <w:r>
        <w:rPr>
          <w:rFonts w:ascii="Arial" w:hAnsi="Arial" w:cs="Arial"/>
          <w:sz w:val="20"/>
          <w:szCs w:val="20"/>
        </w:rPr>
        <w:fldChar w:fldCharType="end"/>
        <w:t xml:space="preserve"> – Adoção de linguagens no trabalho — série 2019 a 2025/26 (multirresposta).</w:t>
      </w:r>
      <w:bookmarkEnd w:id="116"/>
    </w:p>
    <w:p w14:paraId="180ED542" w14:textId="77777777" w:rsidR="00662B7B" w:rsidRPr="00E27960" w:rsidRDefault="00000000" w:rsidP="00E27960">
      <w:pPr>
        <w:pStyle w:val="Ttulo3"/>
      </w:pPr>
      <w:bookmarkStart w:id="117" w:name="_Toc237938402"/>
      <w:bookmarkStart w:id="118" w:name="_Toc239662587"/>
      <w:r>
        <w:t>8.2 Cloud</w:t>
      </w:r>
      <w:bookmarkEnd w:id="117"/>
      <w:bookmarkEnd w:id="118"/>
    </w:p>
    <w:p w14:paraId="0C18074B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AWS lidera com 48,3% de adoção, seguida de Azure (34,8%) e GCP (30,9%) — Figura 10. Para o cliente, a disponibilidade de talentos por provedor reduz custo e prazo de contratação; a própria arquitetura deste projeto (S3 + Glue + Athena) está alinhada ao provedor dominante. Uma ressalva de leitura: o rótulo do bloco de cloud diverge entre edições — a base de 2023 registra a pergunta como “cloud preferida”, enquanto 2024 e 2025/26 a registram como “cloud no dia a dia”. A equivalência foi verificada de forma explícita: somando as marcações dos três provedores (AWS, Azure e GCP) sobre os respondentes válidos do bloco, a densidade de resposta é praticamente idêntica — 104,5% em 2023 e 104,3% em 2024 —, o que indica que a mudança de rótulo não alterou a natureza da questão, mas a edição de 2023 apresenta uma inversão pontual entre Azure e AWS que destoa do restante da série; recomenda-se, portanto, ler a tendência do período e não o ponto isolado de 2023. Por essa razão, este relatório adota a AWS como o único indicador de referência da série de cloud, e não a comparação simultânea dos três provedores. A escolha tem três motivos, e nenhum deles é a conveniência de citar o provedor que hospeda o projeto. Primeiro, a decisão que o cliente precisa tomar — em que stack investir e quais certificações financiar — é unívoca: exige eleger um provedor de referência, não descrever um mercado repartido. Segundo, a divergência de rótulo de 2023 afeta os três provedores ao mesmo tempo, de modo que acompanhar três séries multiplicaria por três a incerteza daquele ponto sem alterar a conclusão. Terceiro, a AWS é a única cuja liderança se apoia na edição mais recente e não contaminada (2025/26, 48,3%), com a maior amplitude de crescimento da série (23,3% em 2019 para 48,3% em 2025/26). Azure e GCP permanecem na Figura 10 como contexto de mercado, mas nenhuma recomendação da Seção 12 se apoia neles.</w:t>
      </w:r>
    </w:p>
    <w:p w14:paraId="10DC7236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1E0036ED" wp14:editId="0947EAB5">
            <wp:extent cx="5715000" cy="2971800"/>
            <wp:effectExtent l="0" t="0" r="0" b="0"/>
            <wp:docPr id="10" name="Imagem 1616037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6160379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2A4D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19" w:name="_Toc239705856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fldChar w:fldCharType="end"/>
        <w:t xml:space="preserve"> – Adoção de provedores de cloud — série 2019 a 2025/26 (multirresposta).</w:t>
      </w:r>
      <w:bookmarkEnd w:id="119"/>
    </w:p>
    <w:p w14:paraId="1161BE04" w14:textId="77777777" w:rsidR="00662B7B" w:rsidRDefault="00000000" w:rsidP="00E27960">
      <w:pPr>
        <w:pStyle w:val="Ttulo3"/>
      </w:pPr>
      <w:bookmarkStart w:id="120" w:name="_Toc237938403"/>
      <w:bookmarkStart w:id="121" w:name="_Toc239662588"/>
      <w:r>
        <w:t>8.3 Ferramentas de BI</w:t>
      </w:r>
      <w:bookmarkEnd w:id="120"/>
      <w:bookmarkEnd w:id="121"/>
    </w:p>
    <w:p w14:paraId="6DC36476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O Power BI domina o consumo analítico com 59,0% (Figura 11), seguido a distância por Looker Studio e Tableau — padronizar a camada de BI corporativa no líder de mercado facilita contratação e reduz treinamento.</w:t>
      </w:r>
    </w:p>
    <w:p w14:paraId="7BF1E7DE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2703D59B" wp14:editId="59266975">
            <wp:extent cx="5715000" cy="2971800"/>
            <wp:effectExtent l="0" t="0" r="0" b="0"/>
            <wp:docPr id="11" name="Imagem 1385523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3855233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2A29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22" w:name="_Toc239705857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11</w:t>
      </w:r>
      <w:r>
        <w:rPr>
          <w:rFonts w:ascii="Arial" w:hAnsi="Arial" w:cs="Arial"/>
          <w:sz w:val="20"/>
          <w:szCs w:val="20"/>
        </w:rPr>
        <w:fldChar w:fldCharType="end"/>
        <w:t xml:space="preserve"> – Ferramentas de BI utilizadas no dia a dia — 2025/26.</w:t>
      </w:r>
      <w:bookmarkStart w:id="123" w:name="_Toc237938404"/>
      <w:bookmarkEnd w:id="122"/>
    </w:p>
    <w:p w14:paraId="19B319C6" w14:textId="77777777" w:rsidR="00662B7B" w:rsidRDefault="00000000" w:rsidP="00587F4A">
      <w:pPr>
        <w:pStyle w:val="Ttulo2"/>
      </w:pPr>
      <w:bookmarkStart w:id="124" w:name="_Toc239662589"/>
      <w:r>
        <w:t>9. Inteligência Artificial: Adoção e Impacto (Pergunta 5)</w:t>
      </w:r>
      <w:bookmarkEnd w:id="123"/>
      <w:bookmarkEnd w:id="124"/>
    </w:p>
    <w:p w14:paraId="06F08139" w14:textId="77777777" w:rsidR="00662B7B" w:rsidRDefault="00000000" w:rsidP="00E27960">
      <w:pPr>
        <w:pStyle w:val="Ttulo3"/>
      </w:pPr>
      <w:bookmarkStart w:id="125" w:name="_Toc237938405"/>
      <w:bookmarkStart w:id="126" w:name="_Toc239662590"/>
      <w:r>
        <w:t>9.1 IA generativa como prioridade corporativa</w:t>
      </w:r>
      <w:bookmarkEnd w:id="125"/>
      <w:bookmarkEnd w:id="126"/>
    </w:p>
    <w:p w14:paraId="539A1556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Na visão dos gestores (Figura 12 e Tabela 13), IA generativa como prioridade máxima ou entre as principais saltou de </w:t>
      </w:r>
      <w:r>
        <w:rPr>
          <w:rFonts w:ascii="Arial" w:hAnsi="Arial" w:cs="Arial"/>
          <w:b/>
          <w:bCs/>
          <w:color w:val="000000"/>
          <w:sz w:val="20"/>
        </w:rPr>
        <w:t>36,2% (2023) para 60,6% (2025/26)</w:t>
      </w:r>
      <w:r>
        <w:rPr>
          <w:rFonts w:ascii="Arial" w:hAnsi="Arial" w:cs="Arial"/>
          <w:color w:val="000000"/>
          <w:sz w:val="20"/>
        </w:rPr>
        <w:t xml:space="preserve"> — +24,4 p.p. em apenas dois anos, crescimento de 1,7× — enquanto “não é prioridade” despencou de 28,8% para 11,3%. A janela de diferenciação está se fechando: em breve ter IA não distinguirá ninguém — distinguirá quem captura valor primeiro.</w:t>
      </w:r>
    </w:p>
    <w:p w14:paraId="593175D5" w14:textId="77777777" w:rsidR="00662B7B" w:rsidRDefault="00000000">
      <w:pPr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31A898A7" wp14:editId="2BF50EC5">
            <wp:extent cx="5715000" cy="2971800"/>
            <wp:effectExtent l="0" t="0" r="0" b="0"/>
            <wp:docPr id="12" name="Imagem 1862067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86206719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544E" w14:textId="77777777" w:rsidR="00DF1B84" w:rsidRDefault="00000000" w:rsidP="00DF1B84">
      <w:pPr>
        <w:pStyle w:val="LegendaFigura"/>
        <w:spacing w:after="200"/>
        <w:jc w:val="center"/>
        <w:rPr>
          <w:rFonts w:ascii="Arial" w:hAnsi="Arial" w:cs="Arial"/>
          <w:sz w:val="20"/>
        </w:rPr>
      </w:pPr>
      <w:bookmarkStart w:id="127" w:name="_Toc239705858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12</w:t>
      </w:r>
      <w:r>
        <w:rPr>
          <w:rFonts w:ascii="Arial" w:hAnsi="Arial" w:cs="Arial"/>
          <w:sz w:val="20"/>
          <w:szCs w:val="20"/>
        </w:rPr>
        <w:fldChar w:fldCharType="end"/>
        <w:t xml:space="preserve"> – IA generativa como prioridade da empresa — visão dos gestores, 2023 a 2025/26.</w:t>
      </w:r>
      <w:bookmarkEnd w:id="127"/>
      <w:r>
        <w:rPr>
          <w:rFonts w:ascii="Arial" w:hAnsi="Arial" w:cs="Arial"/>
          <w:sz w:val="20"/>
          <w:szCs w:val="20"/>
        </w:rPr>
        <w:br w:type="page"/>
      </w:r>
    </w:p>
    <w:p w14:paraId="77E90BB3" w14:textId="77777777" w:rsidR="00662B7B" w:rsidRDefault="00662B7B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</w:p>
    <w:p w14:paraId="4272CA4A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28" w:name="_Toc239705876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14</w:t>
      </w:r>
      <w:r>
        <w:rPr>
          <w:rFonts w:ascii="Arial" w:hAnsi="Arial" w:cs="Arial"/>
          <w:sz w:val="20"/>
          <w:szCs w:val="20"/>
        </w:rPr>
        <w:fldChar w:fldCharType="end"/>
        <w:t xml:space="preserve"> – Prioridade de IA generativa (% dos gestores respondentes).</w:t>
      </w:r>
      <w:bookmarkEnd w:id="128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4561"/>
        <w:gridCol w:w="1599"/>
        <w:gridCol w:w="1601"/>
        <w:gridCol w:w="1599"/>
      </w:tblGrid>
      <w:tr w:rsidR="00662B7B" w14:paraId="1F6F0CEA" w14:textId="77777777">
        <w:trPr>
          <w:tblHeader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8C740E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Categoria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F1133A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2023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1F7A32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2024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43AD0F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2025/26</w:t>
            </w:r>
          </w:p>
        </w:tc>
      </w:tr>
      <w:tr w:rsidR="00662B7B" w14:paraId="075CF029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4F328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Principal prioridade da empresa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52C78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12,3%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BE49E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22,5%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2555E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23,8%</w:t>
            </w:r>
          </w:p>
        </w:tc>
      </w:tr>
      <w:tr w:rsidR="00662B7B" w14:paraId="042CBF38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37610B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Entre as principais (2-4 anos)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6B07D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23,9%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C182C5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31,1%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66963F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36,8%</w:t>
            </w:r>
          </w:p>
        </w:tc>
      </w:tr>
      <w:tr w:rsidR="00662B7B" w14:paraId="1A5B7BD6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B07B9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Iniciativas isoladas, sem foco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815AA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30,7%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028A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28,8%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A4D3B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25,9%</w:t>
            </w:r>
          </w:p>
        </w:tc>
      </w:tr>
      <w:tr w:rsidR="00662B7B" w14:paraId="1152F9F9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2AA7E7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Não é prioridade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C3284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28,8%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EDCFD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14,8%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4C2C7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11,3%</w:t>
            </w:r>
          </w:p>
        </w:tc>
      </w:tr>
      <w:tr w:rsidR="00662B7B" w14:paraId="4162C127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4C7B0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Não sabe opinar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18B6E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4,4%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2C887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2,8%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C15F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2,1%</w:t>
            </w:r>
          </w:p>
        </w:tc>
      </w:tr>
    </w:tbl>
    <w:p w14:paraId="0498BFA7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72FD0BE8" w14:textId="77777777" w:rsidR="00662B7B" w:rsidRDefault="00000000" w:rsidP="00E27960">
      <w:pPr>
        <w:pStyle w:val="Ttulo3"/>
      </w:pPr>
      <w:bookmarkStart w:id="129" w:name="_Toc237938406"/>
      <w:bookmarkStart w:id="130" w:name="_Toc239662591"/>
      <w:r>
        <w:t>9.2 Uso individual de GenAI e Copilots</w:t>
      </w:r>
      <w:bookmarkEnd w:id="129"/>
      <w:bookmarkEnd w:id="130"/>
    </w:p>
    <w:p w14:paraId="70BEC3DB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No nível individual (Figura 13 e Tabela 14), quem “não usa GenAI” caiu de 19,7% para </w:t>
      </w:r>
      <w:r>
        <w:rPr>
          <w:rFonts w:ascii="Arial" w:hAnsi="Arial" w:cs="Arial"/>
          <w:b/>
          <w:bCs/>
          <w:color w:val="000000"/>
          <w:sz w:val="20"/>
        </w:rPr>
        <w:t>2,1%</w:t>
      </w:r>
      <w:r>
        <w:rPr>
          <w:rFonts w:ascii="Arial" w:hAnsi="Arial" w:cs="Arial"/>
          <w:color w:val="000000"/>
          <w:sz w:val="20"/>
        </w:rPr>
        <w:t xml:space="preserve"> (−17,6 p.p.) e a modalidade “empresa paga” explodiu de 6,4% para </w:t>
      </w:r>
      <w:r>
        <w:rPr>
          <w:rFonts w:ascii="Arial" w:hAnsi="Arial" w:cs="Arial"/>
          <w:b/>
          <w:bCs/>
          <w:color w:val="000000"/>
          <w:sz w:val="20"/>
        </w:rPr>
        <w:t>42,4%</w:t>
      </w:r>
      <w:r>
        <w:rPr>
          <w:rFonts w:ascii="Arial" w:hAnsi="Arial" w:cs="Arial"/>
          <w:color w:val="000000"/>
          <w:sz w:val="20"/>
        </w:rPr>
        <w:t xml:space="preserve"> — +36,0 p.p., um crescimento de 6,6 vezes; Copilots alcançam 29,8%. Houve forte expansão da participação do uso corporativamente licenciado, embora as modalidades possam coexistir para o mesmo respondente (pergunta multirresposta) — para um banco regulado, prover ferramenta oficial com governança é simultaneamente ganho de produtividade e mitigação de risco de vazamento de dados.</w:t>
      </w:r>
    </w:p>
    <w:p w14:paraId="616C9D12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O corte por senioridade (tabela Gold gold_genai_usage_by_seniority, adicionada para tornar este recorte auditável a partir do pipeline) mostra que o uso pago pela empresa não está distribuído igualmente pela pirâmide: sobe de 30,3% no Júnior para 40,8% no Pleno, 45,6% no Sênior e </w:t>
      </w:r>
      <w:r>
        <w:rPr>
          <w:rFonts w:ascii="Arial" w:hAnsi="Arial" w:cs="Arial"/>
          <w:b/>
          <w:bCs/>
          <w:color w:val="000000"/>
          <w:sz w:val="20"/>
        </w:rPr>
        <w:t>53,3%</w:t>
      </w:r>
      <w:r>
        <w:rPr>
          <w:rFonts w:ascii="Arial" w:hAnsi="Arial" w:cs="Arial"/>
          <w:color w:val="000000"/>
          <w:sz w:val="20"/>
        </w:rPr>
        <w:t xml:space="preserve"> no Especialista/Staff+ — um gap de 23 pontos percentuais entre as pontas (edição 2025/26). A adoção corporativa de GenAI ainda segue a mesma hierarquia de acesso que separa os demais recortes deste relatório: quem já está mais avançado na carreira também captura mais cedo o benefício da ferramenta paga pela empresa.</w:t>
      </w:r>
    </w:p>
    <w:p w14:paraId="1ED2A6C4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734455B5" wp14:editId="1F98FF29">
            <wp:extent cx="5715000" cy="2971800"/>
            <wp:effectExtent l="0" t="0" r="0" b="0"/>
            <wp:docPr id="13" name="Imagem 346048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34604856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5DE9" w14:textId="77777777" w:rsidR="00DF1B84" w:rsidRDefault="00000000" w:rsidP="00DF1B84">
      <w:pPr>
        <w:pStyle w:val="LegendaFigura"/>
        <w:spacing w:after="200"/>
        <w:jc w:val="center"/>
        <w:rPr>
          <w:rFonts w:ascii="Arial" w:hAnsi="Arial" w:cs="Arial"/>
          <w:sz w:val="20"/>
        </w:rPr>
      </w:pPr>
      <w:bookmarkStart w:id="131" w:name="_Toc239705859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fldChar w:fldCharType="end"/>
        <w:t xml:space="preserve"> – Uso individual de IA generativa no trabalho — 2023 a 2025/26 (multirresposta).</w:t>
      </w:r>
      <w:bookmarkEnd w:id="131"/>
      <w:r>
        <w:rPr>
          <w:rFonts w:ascii="Arial" w:hAnsi="Arial" w:cs="Arial"/>
          <w:sz w:val="20"/>
          <w:szCs w:val="20"/>
        </w:rPr>
        <w:br w:type="page"/>
      </w:r>
    </w:p>
    <w:p w14:paraId="49A369AB" w14:textId="77777777" w:rsidR="00662B7B" w:rsidRDefault="00662B7B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</w:p>
    <w:p w14:paraId="1D199D8A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32" w:name="_Toc239705877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15</w:t>
      </w:r>
      <w:r>
        <w:rPr>
          <w:rFonts w:ascii="Arial" w:hAnsi="Arial" w:cs="Arial"/>
          <w:sz w:val="20"/>
          <w:szCs w:val="20"/>
        </w:rPr>
        <w:fldChar w:fldCharType="end"/>
        <w:t xml:space="preserve"> – Uso individual de GenAI (% sobre respondentes válidos).</w:t>
      </w:r>
      <w:bookmarkEnd w:id="132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4561"/>
        <w:gridCol w:w="1599"/>
        <w:gridCol w:w="1601"/>
        <w:gridCol w:w="1599"/>
      </w:tblGrid>
      <w:tr w:rsidR="00662B7B" w14:paraId="406DCF86" w14:textId="77777777">
        <w:trPr>
          <w:tblHeader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ABD777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Modalidade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19E1E1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2023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9F5928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2024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D04138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2025/26</w:t>
            </w:r>
          </w:p>
        </w:tc>
      </w:tr>
      <w:tr w:rsidR="00662B7B" w14:paraId="7149649E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BF2B5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Não usa GenAI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EE4C0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19,7%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E83EF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6,5%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C4D5C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2,1%</w:t>
            </w:r>
          </w:p>
        </w:tc>
      </w:tr>
      <w:tr w:rsidR="00662B7B" w14:paraId="28959D1A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7A5E5E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Usa soluções gratuitas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70B28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63,7%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7E551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53,7%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194127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30,5%</w:t>
            </w:r>
          </w:p>
        </w:tc>
      </w:tr>
      <w:tr w:rsidR="00662B7B" w14:paraId="293171D4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8AC9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Paga do próprio bolso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C0E58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6,9%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32E3C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15,5%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59C04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26,9%</w:t>
            </w:r>
          </w:p>
        </w:tc>
      </w:tr>
      <w:tr w:rsidR="00662B7B" w14:paraId="2DB71A77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8E8A14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Empresa paga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F80747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6,4%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E00D83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19,3%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174824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42,4%</w:t>
            </w:r>
          </w:p>
        </w:tc>
      </w:tr>
      <w:tr w:rsidR="00662B7B" w14:paraId="57608785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7F08F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Usa Copilot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86EAD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11,8%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EC9D3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23,7%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80FB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29,8%</w:t>
            </w:r>
          </w:p>
        </w:tc>
      </w:tr>
    </w:tbl>
    <w:p w14:paraId="2D3BEC8F" w14:textId="77777777" w:rsidR="00662B7B" w:rsidRDefault="00000000" w:rsidP="00587F4A">
      <w:pPr>
        <w:pStyle w:val="Ttulo2"/>
      </w:pPr>
      <w:bookmarkStart w:id="133" w:name="_Toc237938407"/>
      <w:bookmarkStart w:id="134" w:name="_Toc239662592"/>
      <w:r>
        <w:t>10. Regiões e Modelos de Trabalho (Pergunta 6)</w:t>
      </w:r>
      <w:bookmarkEnd w:id="133"/>
      <w:bookmarkEnd w:id="134"/>
    </w:p>
    <w:p w14:paraId="6EEEEB5C" w14:textId="77777777" w:rsidR="00662B7B" w:rsidRDefault="00000000" w:rsidP="00E27960">
      <w:pPr>
        <w:pStyle w:val="Ttulo3"/>
      </w:pPr>
      <w:bookmarkStart w:id="135" w:name="_Toc237938408"/>
      <w:bookmarkStart w:id="136" w:name="_Toc239662593"/>
      <w:r>
        <w:t>10.1 Geografia do talento</w:t>
      </w:r>
      <w:bookmarkEnd w:id="135"/>
      <w:bookmarkEnd w:id="136"/>
    </w:p>
    <w:p w14:paraId="5EC81837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O Sudeste concentra 64,4% dos profissionais. A mediana salarial é idêntica em todas as regiões (R$ 10.001), mas essa igualdade decorre da baixa resolução da faixa (Seção 2.6). A média dos pontos médios revela diferença relevante: R$ 13.541 no Sudeste contra R$ 10.330 no Nordeste — 31,1% de amplitude, o que sugeriria arbitragem geográfica. Essa leitura, no entanto, não resiste ao controle de senioridade. Restringindo a comparação ao nível Sênior, as médias regionais praticamente convergem: R$ 14.867 no Centro-oeste (n=60), R$ 14.041 no Nordeste (n=86), R$ 13.847 no Sul (n=140) e R$ 13.823 no Sudeste (n=526) — amplitude de apenas 7,6%, com o Sudeste na última posição; a região Norte não é exibida neste recorte por não atingir 30 respondentes. A diferença bruta entre regiões é, portanto, efeito de composição: o Sudeste concentra os perfis mais sêniores, não os salários mais altos para uma mesma senioridade. A conclusão para o cliente é precisa: contratar fora do eixo não reduz a banda salarial para o mesmo nível, mas amplia substancialmente o funil de talentos e reduz a concorrência local por perfis experientes. Estes números estão materializados na tabela Gold gold_regions_by_seniority, adicionada à camada Gold para tornar este recorte auditável e reprodutível a partir do pipeline.</w:t>
      </w:r>
    </w:p>
    <w:p w14:paraId="3D55D01F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4B818BDB" wp14:editId="43DF20BB">
            <wp:extent cx="5715000" cy="2971800"/>
            <wp:effectExtent l="0" t="0" r="0" b="0"/>
            <wp:docPr id="14" name="Imagem 580670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58067040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FC72" w14:textId="77777777" w:rsidR="00DF1B84" w:rsidRDefault="00000000" w:rsidP="00DF1B84">
      <w:pPr>
        <w:pStyle w:val="LegendaFigura"/>
        <w:spacing w:after="200"/>
        <w:jc w:val="center"/>
        <w:rPr>
          <w:rFonts w:ascii="Arial" w:hAnsi="Arial" w:cs="Arial"/>
          <w:sz w:val="20"/>
        </w:rPr>
      </w:pPr>
      <w:bookmarkStart w:id="137" w:name="_Toc239705860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14</w:t>
      </w:r>
      <w:r>
        <w:rPr>
          <w:rFonts w:ascii="Arial" w:hAnsi="Arial" w:cs="Arial"/>
          <w:sz w:val="20"/>
          <w:szCs w:val="20"/>
        </w:rPr>
        <w:fldChar w:fldCharType="end"/>
        <w:t xml:space="preserve"> – Distribuição regional e salário médio estimado por região — 2025/26.</w:t>
      </w:r>
      <w:bookmarkEnd w:id="137"/>
      <w:r>
        <w:rPr>
          <w:rFonts w:ascii="Arial" w:hAnsi="Arial" w:cs="Arial"/>
          <w:sz w:val="20"/>
          <w:szCs w:val="20"/>
        </w:rPr>
        <w:br w:type="page"/>
      </w:r>
    </w:p>
    <w:p w14:paraId="396A6A52" w14:textId="77777777" w:rsidR="00662B7B" w:rsidRDefault="00662B7B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</w:p>
    <w:p w14:paraId="427D9B83" w14:textId="77777777" w:rsidR="00662B7B" w:rsidRDefault="00000000" w:rsidP="00E27960">
      <w:pPr>
        <w:pStyle w:val="Ttulo3"/>
      </w:pPr>
      <w:bookmarkStart w:id="138" w:name="_Toc237938409"/>
      <w:bookmarkStart w:id="139" w:name="_Toc239662594"/>
      <w:r>
        <w:t>10.2 O gap entre modelo praticado e desejado</w:t>
      </w:r>
      <w:bookmarkEnd w:id="138"/>
      <w:bookmarkEnd w:id="139"/>
    </w:p>
    <w:p w14:paraId="67C3D49E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Apenas </w:t>
      </w:r>
      <w:r>
        <w:rPr>
          <w:rFonts w:ascii="Arial" w:hAnsi="Arial" w:cs="Arial"/>
          <w:b/>
          <w:bCs/>
          <w:color w:val="000000"/>
          <w:sz w:val="20"/>
        </w:rPr>
        <w:t>1,9% desejam trabalhar 100% presencial</w:t>
      </w:r>
      <w:r>
        <w:rPr>
          <w:rFonts w:ascii="Arial" w:hAnsi="Arial" w:cs="Arial"/>
          <w:color w:val="000000"/>
          <w:sz w:val="20"/>
        </w:rPr>
        <w:t>, enquanto 42,1% preferem 100% remoto e 43,0% o híbrido flexível (Figura 15). Política de presença rígida é, na prática, um imposto sobre atração e retenção de talento de dados.</w:t>
      </w:r>
    </w:p>
    <w:p w14:paraId="5EC09E0B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61F78D68" wp14:editId="70F8C910">
            <wp:extent cx="5715000" cy="2971800"/>
            <wp:effectExtent l="0" t="0" r="0" b="0"/>
            <wp:docPr id="15" name="Imagem 1666747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66674785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F460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40" w:name="_Toc239705861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15</w:t>
      </w:r>
      <w:r>
        <w:rPr>
          <w:rFonts w:ascii="Arial" w:hAnsi="Arial" w:cs="Arial"/>
          <w:sz w:val="20"/>
          <w:szCs w:val="20"/>
        </w:rPr>
        <w:fldChar w:fldCharType="end"/>
        <w:t xml:space="preserve"> – Modelo de trabalho praticado versus desejado — 2025/26.</w:t>
      </w:r>
      <w:bookmarkEnd w:id="140"/>
    </w:p>
    <w:p w14:paraId="145ABB54" w14:textId="77777777" w:rsidR="00662B7B" w:rsidRDefault="00000000" w:rsidP="00116933">
      <w:pPr>
        <w:pStyle w:val="Ttulo3"/>
      </w:pPr>
      <w:bookmarkStart w:id="141" w:name="_Toc237938410"/>
      <w:bookmarkStart w:id="142" w:name="_Toc239662595"/>
      <w:r>
        <w:t>10.3 Termômetro do mercado</w:t>
      </w:r>
      <w:bookmarkEnd w:id="141"/>
      <w:bookmarkEnd w:id="142"/>
    </w:p>
    <w:p w14:paraId="77D13EAF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Em 2025/26, 69,0% declaram-se satisfeitos com a empresa atual e 24,9% relatam layoff na empresa no ano (Tabela 15) — mercado líquido, com talento disposto a ouvir propostas: bom para quem contrata com proposta de valor forte, arriscado para quem não cuida de retenção.</w:t>
      </w:r>
    </w:p>
    <w:p w14:paraId="315EB01E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43" w:name="_Toc239705878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16</w:t>
      </w:r>
      <w:r>
        <w:rPr>
          <w:rFonts w:ascii="Arial" w:hAnsi="Arial" w:cs="Arial"/>
          <w:sz w:val="20"/>
          <w:szCs w:val="20"/>
        </w:rPr>
        <w:fldChar w:fldCharType="end"/>
        <w:t xml:space="preserve"> – Termômetro do mercado por edição.</w:t>
      </w:r>
      <w:bookmarkEnd w:id="143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559"/>
        <w:gridCol w:w="3401"/>
        <w:gridCol w:w="3400"/>
      </w:tblGrid>
      <w:tr w:rsidR="00662B7B" w14:paraId="28E81D1F" w14:textId="77777777">
        <w:trPr>
          <w:tblHeader/>
        </w:trPr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89741F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Edição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DCB97F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Satisfeitos com a empresa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691F81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Empresa passou por layoff</w:t>
            </w:r>
          </w:p>
        </w:tc>
      </w:tr>
      <w:tr w:rsidR="00662B7B" w14:paraId="546C6412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B1E4A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2023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9DFC4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72,0%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E4751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32,2%</w:t>
            </w:r>
          </w:p>
        </w:tc>
      </w:tr>
      <w:tr w:rsidR="00662B7B" w14:paraId="6F7A9FD1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47DE4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2024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9273E8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68,6%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196C11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28,6%</w:t>
            </w:r>
          </w:p>
        </w:tc>
      </w:tr>
      <w:tr w:rsidR="00662B7B" w14:paraId="21230469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1F68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2025/26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6C998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69,0%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99D4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24,9%</w:t>
            </w:r>
          </w:p>
        </w:tc>
      </w:tr>
    </w:tbl>
    <w:p w14:paraId="576CE74A" w14:textId="77777777" w:rsidR="00662B7B" w:rsidRDefault="00000000" w:rsidP="00587F4A">
      <w:pPr>
        <w:pStyle w:val="Ttulo2"/>
      </w:pPr>
      <w:bookmarkStart w:id="144" w:name="_Toc237938411"/>
      <w:bookmarkStart w:id="145" w:name="_Toc239662596"/>
      <w:r>
        <w:t>11. Oportunidades e Desafios (Pergunta 7)</w:t>
      </w:r>
      <w:bookmarkEnd w:id="144"/>
      <w:bookmarkEnd w:id="145"/>
    </w:p>
    <w:p w14:paraId="07F1F61A" w14:textId="77777777" w:rsidR="00662B7B" w:rsidRDefault="00000000" w:rsidP="00E27960">
      <w:pPr>
        <w:pStyle w:val="Ttulo3"/>
      </w:pPr>
      <w:bookmarkStart w:id="146" w:name="_Toc237938412"/>
      <w:bookmarkStart w:id="147" w:name="_Toc239662597"/>
      <w:r>
        <w:t>11.1 O que decide a escolha de um empregador</w:t>
      </w:r>
      <w:bookmarkEnd w:id="146"/>
      <w:bookmarkEnd w:id="147"/>
    </w:p>
    <w:p w14:paraId="687AEC5B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Figura 16 ordena os critérios de escolha de emprego em 2025/26: remuneração lidera, mas flexibilidade remota, ambiente e oportunidades de crescimento formam o pelotão decisivo — um EVP competitivo para dados combina banda salarial correta com flexibilidade e trilha de carreira visível.</w:t>
      </w:r>
    </w:p>
    <w:p w14:paraId="4ECA3FA4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13465570" wp14:editId="0C486F73">
            <wp:extent cx="5715000" cy="2971800"/>
            <wp:effectExtent l="0" t="0" r="0" b="0"/>
            <wp:docPr id="16" name="Imagem 114181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14181659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5596" w14:textId="7777777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48" w:name="_Toc239705862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16</w:t>
      </w:r>
      <w:r>
        <w:rPr>
          <w:rFonts w:ascii="Arial" w:hAnsi="Arial" w:cs="Arial"/>
          <w:sz w:val="20"/>
          <w:szCs w:val="20"/>
        </w:rPr>
        <w:fldChar w:fldCharType="end"/>
        <w:t xml:space="preserve"> – Critérios decisivos na escolha de onde trabalhar — 2025/26 (multirresposta).</w:t>
      </w:r>
      <w:bookmarkEnd w:id="148"/>
    </w:p>
    <w:p w14:paraId="34F8419F" w14:textId="77777777" w:rsidR="00662B7B" w:rsidRDefault="00000000" w:rsidP="00E27960">
      <w:pPr>
        <w:pStyle w:val="Ttulo3"/>
      </w:pPr>
      <w:bookmarkStart w:id="149" w:name="_Toc237938413"/>
      <w:bookmarkStart w:id="150" w:name="_Toc239662598"/>
      <w:r>
        <w:t>11.2 As dores de quem já gere times de dados</w:t>
      </w:r>
      <w:bookmarkEnd w:id="149"/>
      <w:bookmarkEnd w:id="150"/>
    </w:p>
    <w:p w14:paraId="32FA3A58" w14:textId="77777777" w:rsidR="000F73CA" w:rsidRDefault="00000000" w:rsidP="000F73CA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Os desafios relatados pelos próprios gestores do mercado (Tabela 16) antecipam as dores da expansão do cliente: lideram dividir o tempo entre entregas técnicas e gestão (36,3%), gerenciar a expectativa das áreas de negócio (33,3%) e conduzir projetos multidisciplinares (29,1%). Gerar valor para o negócio (23,5%) e garantir qualidade e confiabilidade dos dados (21,6%) vêm logo em seguida — todos à frente de contratar talentos.</w:t>
      </w:r>
    </w:p>
    <w:p w14:paraId="449D03AE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51" w:name="_Toc239705879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17</w:t>
      </w:r>
      <w:r>
        <w:rPr>
          <w:rFonts w:ascii="Arial" w:hAnsi="Arial" w:cs="Arial"/>
          <w:sz w:val="20"/>
          <w:szCs w:val="20"/>
        </w:rPr>
        <w:fldChar w:fldCharType="end"/>
        <w:t xml:space="preserve"> – Principais desafios dos gestores de dados — 2025/26.</w:t>
      </w:r>
      <w:bookmarkEnd w:id="151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6760"/>
        <w:gridCol w:w="2600"/>
      </w:tblGrid>
      <w:tr w:rsidR="00662B7B" w14:paraId="64989D5A" w14:textId="77777777">
        <w:trPr>
          <w:tblHeader/>
        </w:trPr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6A30F8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Desafio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897049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% dos gestores</w:t>
            </w:r>
          </w:p>
        </w:tc>
      </w:tr>
      <w:tr w:rsidR="00662B7B" w14:paraId="1C343DBA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D966E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Tempo técnico × gestão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4C8FC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36,3%</w:t>
            </w:r>
          </w:p>
        </w:tc>
      </w:tr>
      <w:tr w:rsidR="00662B7B" w14:paraId="01059FAC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30D52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Expectativa das áreas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6DDEB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33,3%</w:t>
            </w:r>
          </w:p>
        </w:tc>
      </w:tr>
      <w:tr w:rsidR="00662B7B" w14:paraId="6D8C753C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CB3BC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Projetos multidisciplinares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C07D1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29,1%</w:t>
            </w:r>
          </w:p>
        </w:tc>
      </w:tr>
      <w:tr w:rsidR="00662B7B" w14:paraId="54B6AD23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07A656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Gerar valor p/ negócio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8FE0F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23,5%</w:t>
            </w:r>
          </w:p>
        </w:tc>
      </w:tr>
      <w:tr w:rsidR="00662B7B" w14:paraId="240AFD5F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1CFB2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Qualidade dos dados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B95B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21,6%</w:t>
            </w:r>
          </w:p>
        </w:tc>
      </w:tr>
      <w:tr w:rsidR="00662B7B" w14:paraId="3C31517E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4A6FD5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Manutenção em produção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55154D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20,4%</w:t>
            </w:r>
          </w:p>
        </w:tc>
      </w:tr>
      <w:tr w:rsidR="00662B7B" w14:paraId="25DF64DA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1012E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Levar inovação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B1463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18,7%</w:t>
            </w:r>
          </w:p>
        </w:tc>
      </w:tr>
      <w:tr w:rsidR="00662B7B" w14:paraId="2D030F7C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62CD3D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Garantir ROI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C8A8D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13,5%</w:t>
            </w:r>
          </w:p>
        </w:tc>
      </w:tr>
    </w:tbl>
    <w:p w14:paraId="6975E2C9" w14:textId="77777777" w:rsidR="00DF1B84" w:rsidRDefault="00DF1B84">
      <w:pPr>
        <w:spacing w:after="160"/>
        <w:rPr>
          <w:rFonts w:ascii="Arial" w:hAnsi="Arial" w:cs="Arial"/>
          <w:sz w:val="20"/>
        </w:rPr>
      </w:pPr>
    </w:p>
    <w:p w14:paraId="6A8A1D16" w14:textId="77777777" w:rsidR="00DF1B84" w:rsidRDefault="00DF1B84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p w14:paraId="4F8AB1FA" w14:textId="77777777" w:rsidR="00662B7B" w:rsidRDefault="00000000" w:rsidP="00E27960">
      <w:pPr>
        <w:pStyle w:val="Ttulo3"/>
      </w:pPr>
      <w:bookmarkStart w:id="152" w:name="_Toc237938414"/>
      <w:bookmarkStart w:id="153" w:name="_Toc239662599"/>
      <w:r>
        <w:t>11.3 Síntese: oportunidades × desafios</w:t>
      </w:r>
      <w:bookmarkEnd w:id="152"/>
      <w:bookmarkEnd w:id="153"/>
    </w:p>
    <w:p w14:paraId="16DAAD9F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54" w:name="_Toc239705880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18</w:t>
      </w:r>
      <w:r>
        <w:rPr>
          <w:rFonts w:ascii="Arial" w:hAnsi="Arial" w:cs="Arial"/>
          <w:sz w:val="20"/>
          <w:szCs w:val="20"/>
        </w:rPr>
        <w:fldChar w:fldCharType="end"/>
        <w:t xml:space="preserve"> – Matriz-síntese de oportunidades e desafios para a instituição financeira.</w:t>
      </w:r>
      <w:bookmarkEnd w:id="154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500"/>
        <w:gridCol w:w="3925"/>
        <w:gridCol w:w="3935"/>
      </w:tblGrid>
      <w:tr w:rsidR="00662B7B" w14:paraId="23B13645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E43728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Dimensão</w:t>
            </w: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C8D364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Oportunidade (evidência)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068131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Desafio (evidência)</w:t>
            </w:r>
          </w:p>
        </w:tc>
      </w:tr>
      <w:tr w:rsidR="00662B7B" w14:paraId="4E9AB6A5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7BB18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Talento</w:t>
            </w: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569EA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Mercado líquido e remoto amplia o funil (Seção 10)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1123E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Competição dura por sêniores; gap na progressão feminina (Seções 5 e 7)</w:t>
            </w:r>
          </w:p>
        </w:tc>
      </w:tr>
      <w:tr w:rsidR="00662B7B" w14:paraId="24F0F495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05DC97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Tecnologia</w:t>
            </w: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9066E7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Stack AWS + Python/SQL alinhada ao mercado (Seção 8)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C8805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Qualidade e confiabilidade de dados desafia 21,6% dos gestores (Seção 11.2)</w:t>
            </w:r>
          </w:p>
        </w:tc>
      </w:tr>
      <w:tr w:rsidR="00662B7B" w14:paraId="7ED5EE82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E3C39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IA</w:t>
            </w: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3019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Momento de capturar valor antes da paridade (Seção 9)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F1159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Governança do uso e prontidão dos dados internos (Seção 9.2)</w:t>
            </w:r>
          </w:p>
        </w:tc>
      </w:tr>
      <w:tr w:rsidR="00662B7B" w14:paraId="22F38747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02BFB5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EVP</w:t>
            </w: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25549A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Flexibilidade custa pouco e atrai muito (Figura 16)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F6CBC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Política presencial rígida reduz a atração de talentos (Seção 10.2)</w:t>
            </w:r>
          </w:p>
        </w:tc>
      </w:tr>
    </w:tbl>
    <w:p w14:paraId="7399724D" w14:textId="77777777" w:rsidR="00662B7B" w:rsidRDefault="00000000" w:rsidP="00587F4A">
      <w:pPr>
        <w:pStyle w:val="Ttulo2"/>
      </w:pPr>
      <w:bookmarkStart w:id="155" w:name="_Toc237938415"/>
      <w:bookmarkStart w:id="156" w:name="_Toc239662600"/>
      <w:r>
        <w:t>12. Recomendações Estratégicas</w:t>
      </w:r>
      <w:bookmarkEnd w:id="155"/>
      <w:bookmarkEnd w:id="156"/>
    </w:p>
    <w:p w14:paraId="60C2E710" w14:textId="77777777" w:rsidR="00662B7B" w:rsidRDefault="00000000" w:rsidP="00E27960">
      <w:pPr>
        <w:pStyle w:val="Ttulo3"/>
      </w:pPr>
      <w:bookmarkStart w:id="157" w:name="_Toc237938416"/>
      <w:bookmarkStart w:id="158" w:name="_Toc239662601"/>
      <w:r>
        <w:t>12.1 Contratação</w:t>
      </w:r>
      <w:bookmarkEnd w:id="157"/>
      <w:bookmarkEnd w:id="158"/>
    </w:p>
    <w:p w14:paraId="30272AA7" w14:textId="77777777" w:rsidR="00662B7B" w:rsidRDefault="00000000">
      <w:pPr>
        <w:pStyle w:val="PargrafodaLista"/>
        <w:numPr>
          <w:ilvl w:val="0"/>
          <w:numId w:val="13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Bandas salariais por família de cargo e senioridade</w:t>
      </w:r>
      <w:r>
        <w:rPr>
          <w:rFonts w:ascii="Arial" w:hAnsi="Arial" w:cs="Arial"/>
          <w:color w:val="000000"/>
        </w:rPr>
        <w:t xml:space="preserve"> ancoradas nas medianas da Seção 6 (Sênior ≈ R$ 14.001; Especialista ≈ R$ 18.001), com revisão anual contra a pesquisa.</w:t>
      </w:r>
    </w:p>
    <w:p w14:paraId="699C1A56" w14:textId="77777777" w:rsidR="00662B7B" w:rsidRDefault="00000000">
      <w:pPr>
        <w:pStyle w:val="PargrafodaLista"/>
        <w:numPr>
          <w:ilvl w:val="0"/>
          <w:numId w:val="14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Contratação remota nacional</w:t>
      </w:r>
      <w:r>
        <w:rPr>
          <w:rFonts w:ascii="Arial" w:hAnsi="Arial" w:cs="Arial"/>
          <w:color w:val="000000"/>
        </w:rPr>
        <w:t xml:space="preserve"> para senioridades críticas, ampliando o funil de talentos fora do Sudeste, que concentra 64,4% dos profissionais (Seção 10.1).</w:t>
      </w:r>
    </w:p>
    <w:p w14:paraId="24AB54FF" w14:textId="77777777" w:rsidR="00662B7B" w:rsidRDefault="00000000">
      <w:pPr>
        <w:pStyle w:val="PargrafodaLista"/>
        <w:numPr>
          <w:ilvl w:val="0"/>
          <w:numId w:val="15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Metas de diversidade na progressão</w:t>
      </w:r>
      <w:r>
        <w:rPr>
          <w:rFonts w:ascii="Arial" w:hAnsi="Arial" w:cs="Arial"/>
          <w:color w:val="000000"/>
        </w:rPr>
        <w:t xml:space="preserve"> (promoção a Sênior+), onde o gap é real (−28,6%), somadas à ampliação do acesso feminino à trilha de engenharia de dados (Seção 7.4) — e não apenas na entrada.</w:t>
      </w:r>
    </w:p>
    <w:p w14:paraId="5BE888DC" w14:textId="77777777" w:rsidR="00662B7B" w:rsidRDefault="00000000" w:rsidP="00E27960">
      <w:pPr>
        <w:pStyle w:val="Ttulo3"/>
      </w:pPr>
      <w:bookmarkStart w:id="159" w:name="_Toc237938417"/>
      <w:bookmarkStart w:id="160" w:name="_Toc239662602"/>
      <w:r>
        <w:t>12.2 Capacitação</w:t>
      </w:r>
      <w:bookmarkEnd w:id="159"/>
      <w:bookmarkEnd w:id="160"/>
    </w:p>
    <w:p w14:paraId="02D7520B" w14:textId="77777777" w:rsidR="00662B7B" w:rsidRDefault="00000000">
      <w:pPr>
        <w:pStyle w:val="PargrafodaLista"/>
        <w:numPr>
          <w:ilvl w:val="0"/>
          <w:numId w:val="16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Trilha-base obrigatória Python + SQL</w:t>
      </w:r>
      <w:r>
        <w:rPr>
          <w:rFonts w:ascii="Arial" w:hAnsi="Arial" w:cs="Arial"/>
          <w:color w:val="000000"/>
        </w:rPr>
        <w:t xml:space="preserve"> (adoção de 92,0% e 84,2% no mercado) e trilha AWS para engenharia.</w:t>
      </w:r>
    </w:p>
    <w:p w14:paraId="1973159D" w14:textId="77777777" w:rsidR="00662B7B" w:rsidRDefault="00000000">
      <w:pPr>
        <w:pStyle w:val="PargrafodaLista"/>
        <w:numPr>
          <w:ilvl w:val="0"/>
          <w:numId w:val="17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Programa de formação de base (Júnior → Pleno)</w:t>
      </w:r>
      <w:r>
        <w:rPr>
          <w:rFonts w:ascii="Arial" w:hAnsi="Arial" w:cs="Arial"/>
          <w:color w:val="000000"/>
        </w:rPr>
        <w:t xml:space="preserve"> para reduzir dependência do mercado de sêniores (Seção 5.3).</w:t>
      </w:r>
    </w:p>
    <w:p w14:paraId="6F10E28E" w14:textId="77777777" w:rsidR="000F73CA" w:rsidRPr="000F73CA" w:rsidRDefault="00000000">
      <w:pPr>
        <w:pStyle w:val="PargrafodaLista"/>
        <w:numPr>
          <w:ilvl w:val="0"/>
          <w:numId w:val="18"/>
        </w:numPr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Letramento em GenAI com governança:</w:t>
      </w:r>
      <w:r>
        <w:rPr>
          <w:rFonts w:ascii="Arial" w:hAnsi="Arial" w:cs="Arial"/>
          <w:color w:val="000000"/>
        </w:rPr>
        <w:t xml:space="preserve"> definição de política de uso, disponibilização de ferramenta oficial licenciada e mapeamento de casos de uso priorizados (Seção 9.2).</w:t>
      </w:r>
    </w:p>
    <w:p w14:paraId="75D04D1B" w14:textId="77777777" w:rsidR="00662B7B" w:rsidRDefault="00000000" w:rsidP="00E27960">
      <w:pPr>
        <w:pStyle w:val="Ttulo3"/>
      </w:pPr>
      <w:bookmarkStart w:id="161" w:name="_Toc237938418"/>
      <w:bookmarkStart w:id="162" w:name="_Toc239662603"/>
      <w:r>
        <w:t>12.3 Investimento</w:t>
      </w:r>
      <w:bookmarkEnd w:id="161"/>
      <w:bookmarkEnd w:id="162"/>
    </w:p>
    <w:p w14:paraId="532AF7D3" w14:textId="77777777" w:rsidR="00662B7B" w:rsidRDefault="00000000">
      <w:pPr>
        <w:pStyle w:val="PargrafodaLista"/>
        <w:numPr>
          <w:ilvl w:val="0"/>
          <w:numId w:val="19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Plataforma de dados em nuvem no padrão Medallion</w:t>
      </w:r>
      <w:r>
        <w:rPr>
          <w:rFonts w:ascii="Arial" w:hAnsi="Arial" w:cs="Arial"/>
          <w:color w:val="000000"/>
        </w:rPr>
        <w:t xml:space="preserve"> (a própria arquitetura deste projeto é o blueprint mínimo), com catálogo e qualidade de dados desde o dia 1 — desafio citado por 21,6% dos gestores do mercado (Tabela 16).</w:t>
      </w:r>
    </w:p>
    <w:p w14:paraId="32722C99" w14:textId="77777777" w:rsidR="00662B7B" w:rsidRDefault="00000000">
      <w:pPr>
        <w:pStyle w:val="PargrafodaLista"/>
        <w:numPr>
          <w:ilvl w:val="0"/>
          <w:numId w:val="20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Licenciamento corporativo de GenAI/Copilots</w:t>
      </w:r>
      <w:r>
        <w:rPr>
          <w:rFonts w:ascii="Arial" w:hAnsi="Arial" w:cs="Arial"/>
          <w:color w:val="000000"/>
        </w:rPr>
        <w:t xml:space="preserve"> acompanhando o movimento do mercado (empresa paga: 6,4% → 42,4%), com trilha de auditoria.</w:t>
      </w:r>
    </w:p>
    <w:p w14:paraId="6125C657" w14:textId="77777777" w:rsidR="00662B7B" w:rsidRDefault="00000000">
      <w:pPr>
        <w:pStyle w:val="PargrafodaLista"/>
        <w:numPr>
          <w:ilvl w:val="0"/>
          <w:numId w:val="21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EVP com flexibilidade</w:t>
      </w:r>
      <w:r>
        <w:rPr>
          <w:rFonts w:ascii="Arial" w:hAnsi="Arial" w:cs="Arial"/>
          <w:color w:val="000000"/>
        </w:rPr>
        <w:t xml:space="preserve"> — modelo híbrido flexível/remoto como política declarada (apenas 1,9% desejam presencial integral).</w:t>
      </w:r>
    </w:p>
    <w:p w14:paraId="0136F2DE" w14:textId="77777777" w:rsidR="00DF1B84" w:rsidRPr="00DF1B84" w:rsidRDefault="00000000" w:rsidP="00DF1B84">
      <w:pPr>
        <w:pStyle w:val="PargrafodaLista"/>
        <w:numPr>
          <w:ilvl w:val="0"/>
          <w:numId w:val="21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Ordem de grandeza de custo (FinOps) </w:t>
      </w:r>
      <w:r>
        <w:rPr>
          <w:rFonts w:ascii="Arial" w:hAnsi="Arial" w:cs="Arial"/>
          <w:color w:val="000000"/>
        </w:rPr>
        <w:t>— nos volumes atuais (57 MB no datalake completo) a infraestrutura custa centavos por mês: armazenamento S3 (~US$ 0,023/GB-mês) é irrelevante nesta escala; cada execução dos dois Glue Jobs (2 workers G.1X, ~US$ 0,44/DPU-hora) custa poucos centavos; Athena (US$ 5,00/TB escaneado) cobra frações de centavo por consulta graças ao particionamento por ano=YYYY. Em produção sobre dados reais do banco, o custo escalaria com a frequência de execução e o volume por Job, não com o tamanho do dataset desta pesquisa — o dimensionamento completo fica para a Fase 2.</w:t>
      </w:r>
      <w:bookmarkStart w:id="163" w:name="_Toc237938419"/>
      <w:r>
        <w:rPr>
          <w:rFonts w:ascii="Arial" w:hAnsi="Arial" w:cs="Arial"/>
        </w:rPr>
        <w:br w:type="page"/>
      </w:r>
    </w:p>
    <w:p w14:paraId="340FDA68" w14:textId="77777777" w:rsidR="00662B7B" w:rsidRDefault="00000000" w:rsidP="00DF1B84">
      <w:pPr>
        <w:pStyle w:val="Ttulo3"/>
      </w:pPr>
      <w:bookmarkStart w:id="164" w:name="_Toc239662604"/>
      <w:r>
        <w:t>12.4 Priorização e Quick Wins</w:t>
      </w:r>
      <w:bookmarkEnd w:id="163"/>
      <w:bookmarkEnd w:id="164"/>
    </w:p>
    <w:p w14:paraId="5F3AA49E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Tabela 18 ordena as recomendações por prioridade e horizonte, com a evidência-âncora de cada uma:</w:t>
      </w:r>
    </w:p>
    <w:p w14:paraId="67CA28C3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65" w:name="_Toc239705881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19</w:t>
      </w:r>
      <w:r>
        <w:rPr>
          <w:rFonts w:ascii="Arial" w:hAnsi="Arial" w:cs="Arial"/>
          <w:sz w:val="20"/>
          <w:szCs w:val="20"/>
        </w:rPr>
        <w:fldChar w:fldCharType="end"/>
        <w:t xml:space="preserve"> – Priorização das recomendações.</w:t>
      </w:r>
      <w:bookmarkEnd w:id="165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3361"/>
        <w:gridCol w:w="1200"/>
        <w:gridCol w:w="1499"/>
        <w:gridCol w:w="3300"/>
      </w:tblGrid>
      <w:tr w:rsidR="00662B7B" w14:paraId="6F5890C6" w14:textId="77777777">
        <w:trPr>
          <w:tblHeader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18A9D8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Ação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DCA11F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Prioridade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C202D5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Horizonte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97818B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Evidência-âncora</w:t>
            </w:r>
          </w:p>
        </w:tc>
      </w:tr>
      <w:tr w:rsidR="00662B7B" w14:paraId="033D85B5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B6DE8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Política de uso + licenciamento corporativo de GenAI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4091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Alta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5E3AC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0–90 dias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00F82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42,4% já têm GenAI paga pela empresa (9.2)</w:t>
            </w:r>
          </w:p>
        </w:tc>
      </w:tr>
      <w:tr w:rsidR="00662B7B" w14:paraId="7F6E1DEC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3F1C6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Trilha obrigatória Python + SQL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232CA9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Alta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191A09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0–90 dias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AC9EBF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92,0% / 84,2% de adoção (8.1)</w:t>
            </w:r>
          </w:p>
        </w:tc>
      </w:tr>
      <w:tr w:rsidR="00662B7B" w14:paraId="600CABB6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7ED39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Bandas salariais por família de cargo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88B84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Alta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13376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0–90 dias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40D3D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Medianas das Seções 6.1/6.2</w:t>
            </w:r>
          </w:p>
        </w:tc>
      </w:tr>
      <w:tr w:rsidR="00662B7B" w14:paraId="58C2ADE9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1244A9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Plataforma Medallion com catálogo e qualidade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84D9AA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Alta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431F94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3–12 meses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C356DD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Qualidade dos dados: 21,6% dos gestores (11.2)</w:t>
            </w:r>
          </w:p>
        </w:tc>
      </w:tr>
      <w:tr w:rsidR="00662B7B" w14:paraId="518E57FE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96AC5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Metas de diversidade na promoção a Sênior+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D961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Alta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54A59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3–12 meses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61372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Gap de −28,6% concentrado no Sênior (7.2)</w:t>
            </w:r>
          </w:p>
        </w:tc>
      </w:tr>
      <w:tr w:rsidR="00662B7B" w14:paraId="617F005A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CD2904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Contratação remota nacional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4F5C7F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Média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4041B5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6–18 meses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C9A2B6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Sudeste concentra 64,4%; ampliar o funil (10.1)</w:t>
            </w:r>
          </w:p>
        </w:tc>
      </w:tr>
      <w:tr w:rsidR="00662B7B" w14:paraId="61DF8EAC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3D6DE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Programa de formação de base (Jr → Pleno)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E6F1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Média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E8B15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6–18 meses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E7B38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Escassez relativa de sêniores (5.3)</w:t>
            </w:r>
          </w:p>
        </w:tc>
      </w:tr>
      <w:tr w:rsidR="00662B7B" w14:paraId="6AF721E5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7138A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EVP com flexibilidade formalizada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A96FBD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Média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474DA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6–18 meses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37AD98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1,9% desejam presencial integral (10.2)</w:t>
            </w:r>
          </w:p>
        </w:tc>
      </w:tr>
    </w:tbl>
    <w:p w14:paraId="25DC4DF2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0FA70B38" w14:textId="77777777" w:rsidR="000F73CA" w:rsidRDefault="00000000" w:rsidP="000F73CA">
      <w:pPr>
        <w:spacing w:after="120"/>
        <w:jc w:val="both"/>
        <w:rPr>
          <w:rFonts w:ascii="Arial" w:hAnsi="Arial"/>
          <w:color w:val="0070C0"/>
          <w:sz w:val="32"/>
          <w:szCs w:val="26"/>
        </w:rPr>
      </w:pPr>
      <w:r>
        <w:rPr>
          <w:rFonts w:ascii="Arial" w:hAnsi="Arial" w:cs="Arial"/>
          <w:b/>
          <w:bCs/>
          <w:color w:val="000000"/>
          <w:sz w:val="20"/>
        </w:rPr>
        <w:t xml:space="preserve">Quick wins — primeiros 90 dias: </w:t>
      </w:r>
      <w:r>
        <w:rPr>
          <w:rFonts w:ascii="Arial" w:hAnsi="Arial" w:cs="Arial"/>
          <w:color w:val="000000"/>
          <w:sz w:val="20"/>
        </w:rPr>
        <w:t>publicar a política de uso de GenAI, disponibilizar a ferramenta oficial licenciada, lançar a trilha Python + SQL e revisar as bandas salariais contra as medianas desta pesquisa.</w:t>
      </w:r>
    </w:p>
    <w:p w14:paraId="16660FB4" w14:textId="77777777" w:rsidR="00DF1B84" w:rsidRDefault="00000000" w:rsidP="00DF1B84">
      <w:pPr>
        <w:spacing w:before="120"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Próximos passos de engenharia — produtizar o pipeline. </w:t>
      </w:r>
      <w:r>
        <w:rPr>
          <w:rFonts w:ascii="Arial" w:hAnsi="Arial" w:cs="Arial"/>
          <w:color w:val="000000"/>
          <w:sz w:val="20"/>
        </w:rPr>
        <w:t>Os quick wins acima são de negócio; a arquitetura em si (Seção 3) precisa de quatro peças antes de sustentar decisão em produção: orquestração agendada dos dois Glue Jobs (EventBridge + Step Functions — hoje disparo manual pelo console); alerta de falha (CloudWatch + SNS — hoje sem monitoramento); carga incremental (hoje cada execução sobrescreve a camada inteira, adequado aos 6 CSVs fixos da pesquisa, não a um fluxo contínuo); e um mínimo de CI para os scripts PySpark antes de promover qualquer mudança para produção.</w:t>
      </w:r>
      <w:bookmarkStart w:id="166" w:name="_Toc237938420"/>
      <w:r>
        <w:rPr>
          <w:rFonts w:ascii="Arial" w:hAnsi="Arial" w:cs="Arial"/>
          <w:color w:val="000000"/>
          <w:sz w:val="20"/>
        </w:rPr>
        <w:br w:type="page"/>
      </w:r>
    </w:p>
    <w:p w14:paraId="6475343F" w14:textId="77777777" w:rsidR="00662B7B" w:rsidRDefault="00000000" w:rsidP="00587F4A">
      <w:pPr>
        <w:pStyle w:val="Ttulo2"/>
      </w:pPr>
      <w:bookmarkStart w:id="167" w:name="_Toc239662605"/>
      <w:r>
        <w:t>13. Riscos, Limitações e Governança</w:t>
      </w:r>
      <w:bookmarkEnd w:id="166"/>
      <w:bookmarkEnd w:id="167"/>
    </w:p>
    <w:p w14:paraId="7F623624" w14:textId="77777777" w:rsidR="00662B7B" w:rsidRDefault="00000000" w:rsidP="00E27960">
      <w:pPr>
        <w:pStyle w:val="Ttulo3"/>
      </w:pPr>
      <w:bookmarkStart w:id="168" w:name="_Toc237938421"/>
      <w:bookmarkStart w:id="169" w:name="_Toc239662606"/>
      <w:r>
        <w:t>13.1 Matriz de riscos do projeto</w:t>
      </w:r>
      <w:bookmarkEnd w:id="168"/>
      <w:bookmarkEnd w:id="169"/>
    </w:p>
    <w:p w14:paraId="75C3FA70" w14:textId="7777777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70" w:name="_Toc239705882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20</w:t>
      </w:r>
      <w:r>
        <w:rPr>
          <w:rFonts w:ascii="Arial" w:hAnsi="Arial" w:cs="Arial"/>
          <w:sz w:val="20"/>
          <w:szCs w:val="20"/>
        </w:rPr>
        <w:fldChar w:fldCharType="end"/>
        <w:t xml:space="preserve"> – Riscos, impacto e mitigação.</w:t>
      </w:r>
      <w:bookmarkEnd w:id="170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895"/>
        <w:gridCol w:w="2530"/>
        <w:gridCol w:w="3935"/>
      </w:tblGrid>
      <w:tr w:rsidR="00662B7B" w14:paraId="531F48E7" w14:textId="77777777">
        <w:trPr>
          <w:tblHeader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A6B822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Risco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96D594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Impacto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305DDE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Mitigação aplicada</w:t>
            </w:r>
          </w:p>
        </w:tc>
      </w:tr>
      <w:tr w:rsidR="00662B7B" w14:paraId="10D6588D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C992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Quebra de schema entre edições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CCB28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Comparações espúrias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CFD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De-para versionado + asserções de colunas no Job 1</w:t>
            </w:r>
          </w:p>
        </w:tc>
      </w:tr>
      <w:tr w:rsidR="00662B7B" w14:paraId="13D2B517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A0FC19D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Mudança de categorias do questionário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98353D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Séries artificialmente quebradas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34349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Harmonização documentada; quebras declaradas (ex.: Especialista/Staff+)</w:t>
            </w:r>
          </w:p>
        </w:tc>
      </w:tr>
      <w:tr w:rsidR="00662B7B" w14:paraId="2CD73C79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79EF3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Queda de volumetria em 2025/26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DB3C9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Leitura errada de encolhimento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AF5ED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Uso exclusivo de proporções; n declarado em todo gráfico</w:t>
            </w:r>
          </w:p>
        </w:tc>
      </w:tr>
      <w:tr w:rsidR="00662B7B" w14:paraId="0E0BAD85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37C5E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Denominador incorreto (multirresposta)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B0D20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Percentuais distorcidos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75B0C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Base = respondentes válidos da questão (premissa P6)</w:t>
            </w:r>
          </w:p>
        </w:tc>
      </w:tr>
      <w:tr w:rsidR="00662B7B" w14:paraId="0AA681F0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0C780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Viés de amostragem por conveniência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5343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Generalização indevida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90876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Limitação declarada (Seção 13.2); leitura como 'entre respondentes'</w:t>
            </w:r>
          </w:p>
        </w:tc>
      </w:tr>
      <w:tr w:rsidR="00662B7B" w14:paraId="517D29CF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D384A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Expiração da sessão do Academy Lab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D955B9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Retrabalho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5E807B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Jobs idempotentes (overwrite); dados persistem no S3</w:t>
            </w:r>
          </w:p>
        </w:tc>
      </w:tr>
      <w:tr w:rsidR="00662B7B" w14:paraId="76B4BF80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9CFB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Erro no ponto médio salarial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2F12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Distorção de medianas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C961A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Regra única auditável + correção de typo documentada (P4)</w:t>
            </w:r>
          </w:p>
        </w:tc>
      </w:tr>
    </w:tbl>
    <w:p w14:paraId="0F237E4D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5FB0F98E" w14:textId="77777777" w:rsidR="00662B7B" w:rsidRDefault="00000000" w:rsidP="00E27960">
      <w:pPr>
        <w:pStyle w:val="Ttulo3"/>
      </w:pPr>
      <w:bookmarkStart w:id="171" w:name="_Toc237938422"/>
      <w:bookmarkStart w:id="172" w:name="_Toc239662607"/>
      <w:r>
        <w:t>13.2 Limitações metodológicas</w:t>
      </w:r>
      <w:bookmarkEnd w:id="171"/>
      <w:bookmarkEnd w:id="172"/>
    </w:p>
    <w:p w14:paraId="2362B586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amostra é por conveniência (comunidade Data Hackers), sem pesos amostrais — os resultados descrevem os respondentes da pesquisa, não o universo de profissionais do país. Faixas salariais são ordinais; o ponto médio é estimativa declarada, não salário observado. A categoria Especialista/Staff+ impede comparação direta do topo da pirâmide com edições anteriores.</w:t>
      </w:r>
    </w:p>
    <w:p w14:paraId="1CDA8F9A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Somam-se às limitações anteriores: o viés de autorresposta inerente a pesquisas voluntárias; as mudanças de questionário entre edições, que afetam a comparabilidade além das categorias novas já declaradas; a natureza correlacional dos dados, que não autoriza inferência causal; e a ausência de pesos amostrais, que impede projeção estatística para o universo de profissionais do país.</w:t>
      </w:r>
    </w:p>
    <w:p w14:paraId="07C3CA16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O viés de seleção tem mecanismo conhecido: a pesquisa é divulgada em uma comunidade online de dados, o que superrepresenta profissionais digitalmente engajados e adotantes precoces de tecnologia, e sub-representa setores tradicionais fora desse circuito. A direção provável do viés, portanto, é a </w:t>
      </w:r>
      <w:r>
        <w:rPr>
          <w:rFonts w:ascii="Arial" w:hAnsi="Arial" w:cs="Arial"/>
          <w:b/>
          <w:bCs/>
          <w:color w:val="000000"/>
          <w:sz w:val="20"/>
        </w:rPr>
        <w:t>superestimação dos níveis absolutos de adoção</w:t>
      </w:r>
      <w:r>
        <w:rPr>
          <w:rFonts w:ascii="Arial" w:hAnsi="Arial" w:cs="Arial"/>
          <w:color w:val="000000"/>
          <w:sz w:val="20"/>
        </w:rPr>
        <w:t xml:space="preserve"> de tecnologias e de IA. Por isso, as tendências direcionais entre edições são mais confiáveis que os níveis absolutos — e todas as conclusões deste relatório devem ser lidas como retrato 'entre respondentes', não como censo do mercado.</w:t>
      </w:r>
    </w:p>
    <w:p w14:paraId="7D2C57E0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Escala validada versus escala de produção. </w:t>
      </w:r>
      <w:r>
        <w:rPr>
          <w:rFonts w:ascii="Arial" w:hAnsi="Arial" w:cs="Arial"/>
          <w:color w:val="000000"/>
          <w:sz w:val="20"/>
        </w:rPr>
        <w:t>O pipeline foi validado em 22.686 linhas processadas em lote anual — volume trivial para qualquer engine moderna. A arquitetura aqui construída é o blueprint mínimo (Seção 3.1), não uma validação de escala: dados reais de RH/operações de uma instituição financeira de grande porte têm ordens de grandeza a mais e cadência mais frequente que uma pesquisa anual. Levar esta arquitetura a produção exigiria revisar o número de workers do Glue (hoje fixo em 2×G.1X, sem auto scaling), remover o coalesce(1) na gravação do CSV Gold (adequado a agregados pequenos, não a cargas maiores) e avaliar processamento por streaming caso a cadência deixe de ser em lote.</w:t>
      </w:r>
    </w:p>
    <w:p w14:paraId="29341AD2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Escopo da governança de dados. </w:t>
      </w:r>
      <w:r>
        <w:rPr>
          <w:rFonts w:ascii="Arial" w:hAnsi="Arial" w:cs="Arial"/>
          <w:color w:val="000000"/>
          <w:sz w:val="20"/>
        </w:rPr>
        <w:t xml:space="preserve">A Seção 2 rastreia premissas metodológicas e a Tabela 19 mapeia riscos do projeto analítico entregue — governança de dado em produção (papéis e responsabilidades, política de qualidade contínua, monitoramento) não faz parte deste escopo. Riscos operacionais da plataforma recomendada — falha de job sem alerta, dependência de fornecedor, ownership da camada Silver em produção — ficam para a fase de implementação.</w:t>
      </w:r>
    </w:p>
    <w:p w14:paraId="4EF5BA16" w14:textId="77777777" w:rsidR="00662B7B" w:rsidRDefault="00000000" w:rsidP="00E27960">
      <w:pPr>
        <w:pStyle w:val="Ttulo3"/>
      </w:pPr>
      <w:bookmarkStart w:id="173" w:name="_Toc237938423"/>
      <w:bookmarkStart w:id="174" w:name="_Toc239662608"/>
      <w:r>
        <w:t>13.3 Reprodutibilidade</w:t>
      </w:r>
      <w:bookmarkEnd w:id="173"/>
      <w:bookmarkEnd w:id="174"/>
    </w:p>
    <w:p w14:paraId="43F0C8FD" w14:textId="77777777" w:rsidR="000F73CA" w:rsidRDefault="00000000" w:rsidP="000F73CA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Todo o fluxo é reproduzível do zero: notebooks 01–05 executados com outputs reais, jobs idempotentes, de-para e premissas versionados em config/, e consultas SQL portáveis (Spark 3.x/Athena). Qualquer membro do grupo — ou o avaliador — chega aos mesmos números a partir dos CSVs públicos.</w:t>
      </w:r>
    </w:p>
    <w:p w14:paraId="075B7A70" w14:textId="77777777" w:rsidR="00662B7B" w:rsidRDefault="00000000" w:rsidP="00E27960">
      <w:pPr>
        <w:pStyle w:val="Ttulo3"/>
      </w:pPr>
      <w:bookmarkStart w:id="175" w:name="_Toc237938424"/>
      <w:bookmarkStart w:id="176" w:name="_Toc239662609"/>
      <w:r>
        <w:t>13.4 Validação cruzada das interpretações</w:t>
      </w:r>
      <w:bookmarkEnd w:id="175"/>
      <w:bookmarkEnd w:id="176"/>
    </w:p>
    <w:p w14:paraId="5B74DD1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Nem toda leitura intuitiva dos dados resistiu à verificação. Seis hipóteses plausíveis foram testadas contra a camada Gold antes de virarem conclusão; </w:t>
      </w:r>
      <w:r>
        <w:rPr>
          <w:rFonts w:ascii="Arial" w:hAnsi="Arial" w:cs="Arial"/>
          <w:b/>
          <w:color w:val="000000"/>
          <w:sz w:val="20"/>
        </w:rPr>
        <w:t>quatro foram refutadas e tiveram o texto reescrito</w:t>
      </w:r>
      <w:r>
        <w:rPr>
          <w:rFonts w:ascii="Arial" w:hAnsi="Arial" w:cs="Arial"/>
          <w:color w:val="000000"/>
          <w:sz w:val="20"/>
        </w:rPr>
        <w:t>. O registro desses testes é parte da governança analítica do projeto: documenta não apenas o que concluímos, mas o que descartamos e por quê.</w:t>
      </w:r>
    </w:p>
    <w:p w14:paraId="2D51F932" w14:textId="77777777" w:rsidR="00662B7B" w:rsidRPr="00116933" w:rsidRDefault="00000000" w:rsidP="00116933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77" w:name="_Toc239705883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21</w:t>
      </w:r>
      <w:r>
        <w:rPr>
          <w:rFonts w:ascii="Arial" w:hAnsi="Arial" w:cs="Arial"/>
          <w:sz w:val="20"/>
          <w:szCs w:val="20"/>
        </w:rPr>
        <w:fldChar w:fldCharType="end"/>
        <w:t xml:space="preserve"> – Hipóteses testadas, resultado da verificação e decisão adotada.</w:t>
      </w:r>
      <w:bookmarkEnd w:id="177"/>
    </w:p>
    <w:tbl>
      <w:tblPr>
        <w:tblW w:w="974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1"/>
        <w:gridCol w:w="2559"/>
        <w:gridCol w:w="2500"/>
      </w:tblGrid>
      <w:tr w:rsidR="00662B7B" w14:paraId="42B0A916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3CD1BE1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Leitura intuitiva inicial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55766AC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Teste aplicado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3AEAEF6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Resultado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61EFAC4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Decisão adotada</w:t>
            </w:r>
          </w:p>
        </w:tc>
      </w:tr>
      <w:tr w:rsidR="00662B7B" w14:paraId="5B37138E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53788D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Ciência de Dados é menos valorizada que Engenharia de Dados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447E9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Controle por senioridade (Seção 6.3)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B9E1C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Medianas idênticas em todos os níveis; diferença bruta explicada por composição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17E84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Conclusão descartada; equivalência declarada</w:t>
            </w:r>
          </w:p>
        </w:tc>
      </w:tr>
      <w:tr w:rsidR="00662B7B" w14:paraId="0C08FC72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AF6230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Contratar fora do Sudeste reduz o custo salarial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FAA815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Mediana salarial por região (Figura 14)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B317AB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Medianas equivalentes: R$ 10.001 em todas as regiões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43DA5A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Argumento reescrito para ampliação do funil de talentos</w:t>
            </w:r>
          </w:p>
        </w:tc>
      </w:tr>
      <w:tr w:rsidR="00662B7B" w14:paraId="70A4039D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C94FC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Qualidade de dados é a principal dor dos gestores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07094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Ranking de desafios (Tabela 16)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FC675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É a 5ª dor (21,6%); lidera tempo técnico × gestão (36,3%)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14B65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Texto corrigido em quatro pontos do relatório</w:t>
            </w:r>
          </w:p>
        </w:tc>
      </w:tr>
      <w:tr w:rsidR="00662B7B" w14:paraId="3A9EE809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F2BA05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Mulheres ganham menos em toda a carreira de dados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7B2D84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Controle por senioridade (Seção 7.2)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320489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Gap nulo em Júnior e Pleno; −28,6% surge no Sênior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88D2A5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Conclusão redirecionada para promoção, não contratação</w:t>
            </w:r>
          </w:p>
        </w:tc>
      </w:tr>
      <w:tr w:rsidR="00662B7B" w14:paraId="2027F371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D38683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Salários regionais mais baixos fora do Sudeste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803536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Média do ponto médio controlada por senioridade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2A4A56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Amplitude cai de 31,1% para 7,6%; Sudeste em último no nível Sênior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16A901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Arbitragem geográfica descartada; mantida a ampliação do funil</w:t>
            </w:r>
          </w:p>
        </w:tc>
      </w:tr>
      <w:tr w:rsidR="00662B7B" w14:paraId="65B96991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B30B6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 série de cloud estaria quebrada por mudança de pergunta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C8F74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Comparação da natureza das respostas entre edições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C2897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Densidade de marcação equivalente: soma de AWS+Azure+GCP sobre a base válida do bloco = 104,5% (2023) e 104,3% (2024)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1FDEF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Hipótese não confirmada; registrada ressalva de rótulo</w:t>
            </w:r>
          </w:p>
        </w:tc>
      </w:tr>
    </w:tbl>
    <w:p w14:paraId="1513D697" w14:textId="77777777" w:rsidR="000F73CA" w:rsidRDefault="00000000" w:rsidP="000F73CA">
      <w:pPr>
        <w:spacing w:after="120"/>
        <w:jc w:val="both"/>
        <w:rPr>
          <w:rFonts w:ascii="Arial" w:hAnsi="Arial"/>
          <w:color w:val="0070C0"/>
          <w:sz w:val="32"/>
          <w:szCs w:val="26"/>
        </w:rPr>
      </w:pPr>
      <w:r>
        <w:rPr>
          <w:rFonts w:ascii="Arial" w:hAnsi="Arial" w:cs="Arial"/>
          <w:color w:val="000000"/>
          <w:sz w:val="20"/>
        </w:rPr>
        <w:t>O padrão comum às refutações é instrutivo: em três dos quatro casos o erro potencial vinha de comparar grupos com composição interna diferente. Por isso o controle por senioridade foi aplicado de forma consistente tanto à análise de cargo quanto à de gênero.</w:t>
      </w:r>
      <w:bookmarkStart w:id="178" w:name="_Toc237938425"/>
      <w:r>
        <w:br w:type="page"/>
      </w:r>
    </w:p>
    <w:p w14:paraId="351C1C73" w14:textId="77777777" w:rsidR="00662B7B" w:rsidRDefault="00000000" w:rsidP="00587F4A">
      <w:pPr>
        <w:pStyle w:val="Ttulo2"/>
      </w:pPr>
      <w:bookmarkStart w:id="179" w:name="_Toc239662610"/>
      <w:r>
        <w:t>14. Conclusões</w:t>
      </w:r>
      <w:bookmarkEnd w:id="178"/>
      <w:bookmarkEnd w:id="179"/>
    </w:p>
    <w:p w14:paraId="127C2718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As três últimas edições da State of Data Brasil descrevem um mercado que amadureceu tecnicamente (Python/SQL como base universal, AWS na liderança de cloud), encareceu no topo da senioridade e entrou em aceleração declarada de IA generativa — com a adoção corporativa paga saltando de </w:t>
      </w:r>
      <w:r>
        <w:rPr>
          <w:rFonts w:ascii="Arial" w:hAnsi="Arial" w:cs="Arial"/>
          <w:b/>
          <w:bCs/>
          <w:color w:val="000000"/>
          <w:sz w:val="20"/>
        </w:rPr>
        <w:t>6,4% para 42,4%</w:t>
      </w:r>
      <w:r>
        <w:rPr>
          <w:rFonts w:ascii="Arial" w:hAnsi="Arial" w:cs="Arial"/>
          <w:color w:val="000000"/>
          <w:sz w:val="20"/>
        </w:rPr>
        <w:t xml:space="preserve"> em dois anos. Ao mesmo tempo, expõe fragilidades estruturais: estagnação da participação feminina, gap de progressão no nível Sênior e um descompasso severo entre o modelo de trabalho praticado e o desejado.</w:t>
      </w:r>
    </w:p>
    <w:p w14:paraId="3FF489DA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Para a instituição financeira, a leitura estratégica é uma só: </w:t>
      </w:r>
      <w:r>
        <w:rPr>
          <w:rFonts w:ascii="Arial" w:hAnsi="Arial" w:cs="Arial"/>
          <w:b/>
          <w:bCs/>
          <w:color w:val="000000"/>
          <w:sz w:val="20"/>
        </w:rPr>
        <w:t>a vantagem competitiva não estará em adotar IA — estará em ter dados confiáveis, plataforma moderna e gente capaz de capturar valor antes da paridade do mercado</w:t>
      </w:r>
      <w:r>
        <w:rPr>
          <w:rFonts w:ascii="Arial" w:hAnsi="Arial" w:cs="Arial"/>
          <w:color w:val="000000"/>
          <w:sz w:val="20"/>
        </w:rPr>
        <w:t>. As recomendações da Seção 12 traduzem essa leitura em ações de contratação, capacitação e investimento, cada uma rastreável a um número deste relatório — e o pipeline AWS aqui construído é, ele próprio, o protótipo funcional da plataforma recomendada.</w:t>
      </w:r>
    </w:p>
    <w:p w14:paraId="23594AA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Por fim, declara-se respondida a pergunta norteadora: as três últimas edições da pesquisa mostram, com evidência quantitativa, </w:t>
      </w:r>
      <w:r>
        <w:rPr>
          <w:rFonts w:ascii="Arial" w:hAnsi="Arial" w:cs="Arial"/>
          <w:b/>
          <w:bCs/>
          <w:color w:val="000000"/>
          <w:sz w:val="20"/>
        </w:rPr>
        <w:t>quem contratar</w:t>
      </w:r>
      <w:r>
        <w:rPr>
          <w:rFonts w:ascii="Arial" w:hAnsi="Arial" w:cs="Arial"/>
          <w:color w:val="000000"/>
          <w:sz w:val="20"/>
        </w:rPr>
        <w:t xml:space="preserve"> (famílias e senioridades da Seção 6, com bandas realistas), </w:t>
      </w:r>
      <w:r>
        <w:rPr>
          <w:rFonts w:ascii="Arial" w:hAnsi="Arial" w:cs="Arial"/>
          <w:b/>
          <w:bCs/>
          <w:color w:val="000000"/>
          <w:sz w:val="20"/>
        </w:rPr>
        <w:t>o que capacitar</w:t>
      </w:r>
      <w:r>
        <w:rPr>
          <w:rFonts w:ascii="Arial" w:hAnsi="Arial" w:cs="Arial"/>
          <w:color w:val="000000"/>
          <w:sz w:val="20"/>
        </w:rPr>
        <w:t xml:space="preserve"> (Python, SQL, AWS e letramento em GenAI governada) e </w:t>
      </w:r>
      <w:r>
        <w:rPr>
          <w:rFonts w:ascii="Arial" w:hAnsi="Arial" w:cs="Arial"/>
          <w:b/>
          <w:bCs/>
          <w:color w:val="000000"/>
          <w:sz w:val="20"/>
        </w:rPr>
        <w:t>onde investir</w:t>
      </w:r>
      <w:r>
        <w:rPr>
          <w:rFonts w:ascii="Arial" w:hAnsi="Arial" w:cs="Arial"/>
          <w:color w:val="000000"/>
          <w:sz w:val="20"/>
        </w:rPr>
        <w:t xml:space="preserve"> (plataforma de dados moderna com qualidade e catálogo, e IA generativa corporativa antes da paridade de mercado). A arquitetura construída neste projeto não apenas produziu essas respostas — é, ela própria, o protótipo funcional da plataforma que sustentará as decisões estratégicas da instituição financeira.</w:t>
      </w:r>
    </w:p>
    <w:p w14:paraId="33910BE8" w14:textId="77777777" w:rsidR="000F73CA" w:rsidRDefault="000F73CA" w:rsidP="00587F4A">
      <w:pPr>
        <w:pStyle w:val="Ttulo2"/>
      </w:pPr>
      <w:bookmarkStart w:id="180" w:name="_Toc237938426"/>
    </w:p>
    <w:p w14:paraId="5E82A210" w14:textId="77777777" w:rsidR="00662B7B" w:rsidRDefault="00000000" w:rsidP="00587F4A">
      <w:pPr>
        <w:pStyle w:val="Ttulo2"/>
      </w:pPr>
      <w:bookmarkStart w:id="181" w:name="_Toc239662611"/>
      <w:r>
        <w:t>15. Referências</w:t>
      </w:r>
      <w:bookmarkEnd w:id="180"/>
      <w:bookmarkEnd w:id="181"/>
    </w:p>
    <w:p w14:paraId="54903766" w14:textId="77777777" w:rsidR="00662B7B" w:rsidRDefault="00000000">
      <w:pPr>
        <w:pStyle w:val="PargrafodaLista"/>
        <w:numPr>
          <w:ilvl w:val="0"/>
          <w:numId w:val="22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DATA HACKERS; BAIN &amp; COMPANY. State of Data Brazil: edições 2019, 2021, 2022, 2023, 2024 e 2025/26. Kaggle, 2026. Disponível em: https://www.kaggle.com/datahackers/datasets. Acesso em: 17 jul. 2026.</w:t>
      </w:r>
    </w:p>
    <w:p w14:paraId="3BAA19FF" w14:textId="77777777" w:rsidR="00662B7B" w:rsidRDefault="00000000">
      <w:pPr>
        <w:pStyle w:val="PargrafodaLista"/>
        <w:numPr>
          <w:ilvl w:val="0"/>
          <w:numId w:val="23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BAIN &amp; COMPANY. Pesquisa de adoção de IA generativa no Brasil. 2025. Disponível em: https://www.bain.com/pt-br/insights/inteligencia-artificial-no-brasil/. Acesso em: 26 ago. 2026.</w:t>
      </w:r>
    </w:p>
    <w:p w14:paraId="07B43298" w14:textId="77777777" w:rsidR="00662B7B" w:rsidRDefault="00000000">
      <w:pPr>
        <w:pStyle w:val="PargrafodaLista"/>
        <w:numPr>
          <w:ilvl w:val="0"/>
          <w:numId w:val="24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MCKINSEY &amp; COMPANY. The State of AI. 2025. Disponível em: https://www.mckinsey.com/capabilities/quantumblack/our-insights/the-state-of-ai. Acesso em: 26 ago. 2026.</w:t>
      </w:r>
    </w:p>
    <w:p w14:paraId="2705945D" w14:textId="77777777" w:rsidR="00662B7B" w:rsidRDefault="00000000">
      <w:pPr>
        <w:pStyle w:val="PargrafodaLista"/>
        <w:numPr>
          <w:ilvl w:val="0"/>
          <w:numId w:val="25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DATABRICKS. Medallion Lakehouse Architecture: documentação oficial. Disponível em: https://docs.databricks.com/aws/en/lakehouse/medallion. Acesso em: 17 jul. 2026.</w:t>
      </w:r>
    </w:p>
    <w:p w14:paraId="1C196E88" w14:textId="77777777" w:rsidR="00662B7B" w:rsidRDefault="00000000">
      <w:pPr>
        <w:pStyle w:val="PargrafodaLista"/>
        <w:numPr>
          <w:ilvl w:val="0"/>
          <w:numId w:val="26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AWS BUILDERS (comunidade dev.to, publicação não oficial). Medallion Architecture on AWS (S3 + Glue + Athena). Disponível em: https://dev.to/aws-builders/medallion-architecture-on-aws-2ngm. Acesso em: 26 ago. 2026.</w:t>
      </w:r>
    </w:p>
    <w:p w14:paraId="16B21A78" w14:textId="77777777" w:rsidR="00662B7B" w:rsidRDefault="00000000">
      <w:pPr>
        <w:pStyle w:val="PargrafodaLista"/>
        <w:numPr>
          <w:ilvl w:val="0"/>
          <w:numId w:val="27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BRASSCOM. Censo de Diversidade do Setor de TIC 2024–2025. Disponível em: https://brasscom.org.br/relatorio-diversidade-setor-de-tic-em-2024/. Acesso em: 26 ago. 2026.</w:t>
      </w:r>
    </w:p>
    <w:p w14:paraId="49AE36E0" w14:textId="77777777" w:rsidR="00662B7B" w:rsidRDefault="00000000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i/>
          <w:iCs/>
          <w:color w:val="000000"/>
          <w:sz w:val="20"/>
        </w:rPr>
        <w:t>Nota de curadoria: fontes externas foram usadas apenas como contexto/benchmark; todos os números do relatório saem do pipeline sobre os CSVs oficiais da pesquisa.</w:t>
      </w:r>
    </w:p>
    <w:sectPr w:rsidR="00662B7B" w:rsidSect="000F73C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361" w:right="1644" w:bottom="1361" w:left="1644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AE7419" w14:textId="77777777" w:rsidR="001B2FE5" w:rsidRDefault="001B2FE5">
      <w:r>
        <w:separator/>
      </w:r>
    </w:p>
  </w:endnote>
  <w:endnote w:type="continuationSeparator" w:id="0">
    <w:p w14:paraId="51BCE95B" w14:textId="77777777" w:rsidR="001B2FE5" w:rsidRDefault="001B2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FreeSan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F1CB11" w14:textId="77777777" w:rsidR="00662B7B" w:rsidRDefault="00662B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831980" w14:textId="77777777" w:rsidR="00662B7B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37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765655" w14:textId="77777777" w:rsidR="00662B7B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37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6A233B" w14:textId="77777777" w:rsidR="001B2FE5" w:rsidRDefault="001B2FE5">
      <w:r>
        <w:separator/>
      </w:r>
    </w:p>
  </w:footnote>
  <w:footnote w:type="continuationSeparator" w:id="0">
    <w:p w14:paraId="35B65645" w14:textId="77777777" w:rsidR="001B2FE5" w:rsidRDefault="001B2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811E01" w14:textId="77777777" w:rsidR="00662B7B" w:rsidRDefault="00662B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3C7DA1" w14:textId="77777777" w:rsidR="00662B7B" w:rsidRDefault="00000000">
    <w:pPr>
      <w:jc w:val="right"/>
    </w:pPr>
    <w:r>
      <w:rPr>
        <w:color w:val="808080"/>
        <w:szCs w:val="16"/>
      </w:rPr>
      <w:t xml:space="preserve">Tech </w:t>
    </w:r>
    <w:proofErr w:type="spellStart"/>
    <w:r>
      <w:rPr>
        <w:color w:val="808080"/>
        <w:szCs w:val="16"/>
      </w:rPr>
      <w:t>Challenge</w:t>
    </w:r>
    <w:proofErr w:type="spellEnd"/>
    <w:r>
      <w:rPr>
        <w:color w:val="808080"/>
        <w:szCs w:val="16"/>
      </w:rPr>
      <w:t xml:space="preserve"> — Fase 3 · </w:t>
    </w:r>
    <w:proofErr w:type="spellStart"/>
    <w:r>
      <w:rPr>
        <w:color w:val="808080"/>
        <w:szCs w:val="16"/>
      </w:rPr>
      <w:t>State</w:t>
    </w:r>
    <w:proofErr w:type="spellEnd"/>
    <w:r>
      <w:rPr>
        <w:color w:val="808080"/>
        <w:szCs w:val="16"/>
      </w:rPr>
      <w:t xml:space="preserve"> </w:t>
    </w:r>
    <w:proofErr w:type="spellStart"/>
    <w:r>
      <w:rPr>
        <w:color w:val="808080"/>
        <w:szCs w:val="16"/>
      </w:rPr>
      <w:t>of</w:t>
    </w:r>
    <w:proofErr w:type="spellEnd"/>
    <w:r>
      <w:rPr>
        <w:color w:val="808080"/>
        <w:szCs w:val="16"/>
      </w:rPr>
      <w:t xml:space="preserve"> Data Brasil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578019" w14:textId="77777777" w:rsidR="00662B7B" w:rsidRDefault="00000000">
    <w:pPr>
      <w:jc w:val="right"/>
    </w:pPr>
    <w:r>
      <w:rPr>
        <w:color w:val="808080"/>
        <w:szCs w:val="16"/>
      </w:rPr>
      <w:t xml:space="preserve">Tech </w:t>
    </w:r>
    <w:proofErr w:type="spellStart"/>
    <w:r>
      <w:rPr>
        <w:color w:val="808080"/>
        <w:szCs w:val="16"/>
      </w:rPr>
      <w:t>Challenge</w:t>
    </w:r>
    <w:proofErr w:type="spellEnd"/>
    <w:r>
      <w:rPr>
        <w:color w:val="808080"/>
        <w:szCs w:val="16"/>
      </w:rPr>
      <w:t xml:space="preserve"> — Fase 3 · </w:t>
    </w:r>
    <w:proofErr w:type="spellStart"/>
    <w:r>
      <w:rPr>
        <w:color w:val="808080"/>
        <w:szCs w:val="16"/>
      </w:rPr>
      <w:t>State</w:t>
    </w:r>
    <w:proofErr w:type="spellEnd"/>
    <w:r>
      <w:rPr>
        <w:color w:val="808080"/>
        <w:szCs w:val="16"/>
      </w:rPr>
      <w:t xml:space="preserve"> </w:t>
    </w:r>
    <w:proofErr w:type="spellStart"/>
    <w:r>
      <w:rPr>
        <w:color w:val="808080"/>
        <w:szCs w:val="16"/>
      </w:rPr>
      <w:t>of</w:t>
    </w:r>
    <w:proofErr w:type="spellEnd"/>
    <w:r>
      <w:rPr>
        <w:color w:val="808080"/>
        <w:szCs w:val="16"/>
      </w:rPr>
      <w:t xml:space="preserve"> Data Brasil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C87C59"/>
    <w:multiLevelType w:val="multilevel"/>
    <w:tmpl w:val="534E6986"/>
    <w:lvl w:ilvl="0">
      <w:start w:val="1"/>
      <w:numFmt w:val="bullet"/>
      <w:lvlText w:val=""/>
      <w:lvlJc w:val="left"/>
      <w:pPr>
        <w:tabs>
          <w:tab w:val="num" w:pos="0"/>
        </w:tabs>
        <w:ind w:left="420" w:hanging="21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01031225">
    <w:abstractNumId w:val="0"/>
    <w:lvlOverride w:ilvl="0">
      <w:startOverride w:val="1"/>
    </w:lvlOverride>
  </w:num>
  <w:num w:numId="2" w16cid:durableId="873080515">
    <w:abstractNumId w:val="0"/>
  </w:num>
  <w:num w:numId="3" w16cid:durableId="1060665026">
    <w:abstractNumId w:val="0"/>
  </w:num>
  <w:num w:numId="4" w16cid:durableId="665548312">
    <w:abstractNumId w:val="0"/>
  </w:num>
  <w:num w:numId="5" w16cid:durableId="1749644596">
    <w:abstractNumId w:val="0"/>
  </w:num>
  <w:num w:numId="6" w16cid:durableId="1522233705">
    <w:abstractNumId w:val="0"/>
  </w:num>
  <w:num w:numId="7" w16cid:durableId="1202284874">
    <w:abstractNumId w:val="0"/>
  </w:num>
  <w:num w:numId="8" w16cid:durableId="2011522795">
    <w:abstractNumId w:val="0"/>
  </w:num>
  <w:num w:numId="9" w16cid:durableId="575749476">
    <w:abstractNumId w:val="0"/>
  </w:num>
  <w:num w:numId="10" w16cid:durableId="1608275371">
    <w:abstractNumId w:val="0"/>
  </w:num>
  <w:num w:numId="11" w16cid:durableId="333533137">
    <w:abstractNumId w:val="0"/>
  </w:num>
  <w:num w:numId="12" w16cid:durableId="630598515">
    <w:abstractNumId w:val="0"/>
  </w:num>
  <w:num w:numId="13" w16cid:durableId="669061995">
    <w:abstractNumId w:val="0"/>
  </w:num>
  <w:num w:numId="14" w16cid:durableId="935208709">
    <w:abstractNumId w:val="0"/>
  </w:num>
  <w:num w:numId="15" w16cid:durableId="717247082">
    <w:abstractNumId w:val="0"/>
  </w:num>
  <w:num w:numId="16" w16cid:durableId="286739347">
    <w:abstractNumId w:val="0"/>
  </w:num>
  <w:num w:numId="17" w16cid:durableId="913508444">
    <w:abstractNumId w:val="0"/>
  </w:num>
  <w:num w:numId="18" w16cid:durableId="113180701">
    <w:abstractNumId w:val="0"/>
  </w:num>
  <w:num w:numId="19" w16cid:durableId="1163203622">
    <w:abstractNumId w:val="0"/>
  </w:num>
  <w:num w:numId="20" w16cid:durableId="226192293">
    <w:abstractNumId w:val="0"/>
  </w:num>
  <w:num w:numId="21" w16cid:durableId="1943415381">
    <w:abstractNumId w:val="0"/>
  </w:num>
  <w:num w:numId="22" w16cid:durableId="1565212698">
    <w:abstractNumId w:val="0"/>
  </w:num>
  <w:num w:numId="23" w16cid:durableId="1135950568">
    <w:abstractNumId w:val="0"/>
  </w:num>
  <w:num w:numId="24" w16cid:durableId="505173185">
    <w:abstractNumId w:val="0"/>
  </w:num>
  <w:num w:numId="25" w16cid:durableId="514617610">
    <w:abstractNumId w:val="0"/>
  </w:num>
  <w:num w:numId="26" w16cid:durableId="201019988">
    <w:abstractNumId w:val="0"/>
  </w:num>
  <w:num w:numId="27" w16cid:durableId="1846356657">
    <w:abstractNumId w:val="0"/>
  </w:num>
  <w:numIdMacAtCleanup w:val="2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B7B"/>
    <w:rsid w:val="000F73CA"/>
    <w:rsid w:val="00116933"/>
    <w:rsid w:val="00135A13"/>
    <w:rsid w:val="001B2FE5"/>
    <w:rsid w:val="002827E1"/>
    <w:rsid w:val="00306EB7"/>
    <w:rsid w:val="0054247D"/>
    <w:rsid w:val="00587F4A"/>
    <w:rsid w:val="00662B7B"/>
    <w:rsid w:val="006B148A"/>
    <w:rsid w:val="00787033"/>
    <w:rsid w:val="007C6AA8"/>
    <w:rsid w:val="007D71C6"/>
    <w:rsid w:val="007D7E47"/>
    <w:rsid w:val="007E4E70"/>
    <w:rsid w:val="008A36FA"/>
    <w:rsid w:val="008D014E"/>
    <w:rsid w:val="009A2856"/>
    <w:rsid w:val="009D15D8"/>
    <w:rsid w:val="00AE5018"/>
    <w:rsid w:val="00B4431B"/>
    <w:rsid w:val="00D547F3"/>
    <w:rsid w:val="00D7611C"/>
    <w:rsid w:val="00DE0D27"/>
    <w:rsid w:val="00DF1B84"/>
    <w:rsid w:val="00E27960"/>
    <w:rsid w:val="00E60626"/>
    <w:rsid w:val="00F1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A369D"/>
  <w15:docId w15:val="{98EF3F62-DFEF-CB45-ADFD-77B53131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866"/>
    <w:rPr>
      <w:sz w:val="16"/>
    </w:rPr>
  </w:style>
  <w:style w:type="paragraph" w:styleId="Ttulo1">
    <w:name w:val="heading 1"/>
    <w:uiPriority w:val="9"/>
    <w:qFormat/>
    <w:rsid w:val="00587F4A"/>
    <w:pPr>
      <w:spacing w:before="120"/>
      <w:outlineLvl w:val="0"/>
    </w:pPr>
    <w:rPr>
      <w:color w:val="2E74B5"/>
      <w:sz w:val="44"/>
      <w:szCs w:val="32"/>
    </w:rPr>
  </w:style>
  <w:style w:type="paragraph" w:styleId="Ttulo2">
    <w:name w:val="heading 2"/>
    <w:uiPriority w:val="9"/>
    <w:unhideWhenUsed/>
    <w:qFormat/>
    <w:rsid w:val="006B148A"/>
    <w:pPr>
      <w:spacing w:before="120" w:after="240"/>
      <w:outlineLvl w:val="1"/>
    </w:pPr>
    <w:rPr>
      <w:rFonts w:ascii="Arial" w:hAnsi="Arial"/>
      <w:color w:val="0070C0"/>
      <w:sz w:val="32"/>
      <w:szCs w:val="26"/>
    </w:rPr>
  </w:style>
  <w:style w:type="paragraph" w:styleId="Ttulo3">
    <w:name w:val="heading 3"/>
    <w:uiPriority w:val="9"/>
    <w:unhideWhenUsed/>
    <w:qFormat/>
    <w:rsid w:val="006B148A"/>
    <w:pPr>
      <w:spacing w:before="60" w:after="120"/>
      <w:outlineLvl w:val="2"/>
    </w:pPr>
    <w:rPr>
      <w:rFonts w:ascii="Arial" w:hAnsi="Arial"/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  <w:rsid w:val="00135A13"/>
    <w:rPr>
      <w:rFonts w:ascii="Arial" w:hAnsi="Arial" w:cs="Arial"/>
      <w:b/>
      <w:bCs/>
      <w:sz w:val="16"/>
      <w:szCs w:val="2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qFormat/>
    <w:rPr>
      <w:color w:val="595959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sid w:val="001C7E04"/>
    <w:rPr>
      <w:rFonts w:ascii="Arial" w:hAnsi="Arial"/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link w:val="TextodenotaderodapChar"/>
    <w:uiPriority w:val="99"/>
    <w:semiHidden/>
    <w:unhideWhenUsed/>
  </w:style>
  <w:style w:type="paragraph" w:styleId="Textodenotadefim">
    <w:name w:val="endnote text"/>
    <w:link w:val="TextodenotadefimChar"/>
    <w:uiPriority w:val="99"/>
    <w:semiHidden/>
    <w:unhideWhenUsed/>
  </w:style>
  <w:style w:type="paragraph" w:customStyle="1" w:styleId="LegendaFigura">
    <w:name w:val="LegendaFigura"/>
    <w:qFormat/>
    <w:rPr>
      <w:color w:val="595959"/>
      <w:sz w:val="18"/>
      <w:szCs w:val="18"/>
    </w:rPr>
  </w:style>
  <w:style w:type="paragraph" w:customStyle="1" w:styleId="LegendaTabela">
    <w:name w:val="LegendaTabela"/>
    <w:qFormat/>
    <w:rsid w:val="00587F4A"/>
    <w:rPr>
      <w:color w:val="595959"/>
      <w:sz w:val="16"/>
      <w:szCs w:val="18"/>
    </w:rPr>
  </w:style>
  <w:style w:type="paragraph" w:styleId="Sumrio1">
    <w:name w:val="toc 1"/>
    <w:basedOn w:val="Normal"/>
    <w:next w:val="Normal"/>
    <w:autoRedefine/>
    <w:uiPriority w:val="39"/>
    <w:unhideWhenUsed/>
    <w:rsid w:val="0041486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27960"/>
    <w:pPr>
      <w:tabs>
        <w:tab w:val="right" w:leader="dot" w:pos="9350"/>
      </w:tabs>
      <w:spacing w:after="100"/>
      <w:ind w:left="200"/>
    </w:p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HeaderandFooter"/>
  </w:style>
  <w:style w:type="paragraph" w:styleId="Rodap">
    <w:name w:val="footer"/>
    <w:basedOn w:val="HeaderandFooter"/>
  </w:style>
  <w:style w:type="paragraph" w:styleId="Sumrio3">
    <w:name w:val="toc 3"/>
    <w:basedOn w:val="Normal"/>
    <w:next w:val="Normal"/>
    <w:autoRedefine/>
    <w:uiPriority w:val="39"/>
    <w:unhideWhenUsed/>
    <w:rsid w:val="00E27960"/>
    <w:pPr>
      <w:spacing w:after="100"/>
      <w:ind w:left="320"/>
    </w:pPr>
  </w:style>
  <w:style w:type="paragraph" w:styleId="ndicedeilustraes">
    <w:name w:val="table of figures"/>
    <w:basedOn w:val="Normal"/>
    <w:next w:val="Normal"/>
    <w:uiPriority w:val="99"/>
    <w:unhideWhenUsed/>
    <w:rsid w:val="00E27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gmricardo/Techchallenge3-G12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235FC6-9403-5841-9D08-5752AF2D5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31</Pages>
  <Words>10472</Words>
  <Characters>57811</Characters>
  <Application>Microsoft Office Word</Application>
  <DocSecurity>0</DocSecurity>
  <Lines>1605</Lines>
  <Paragraphs>1101</Paragraphs>
  <ScaleCrop>false</ScaleCrop>
  <Company/>
  <LinksUpToDate>false</LinksUpToDate>
  <CharactersWithSpaces>67182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Ricardo G de Moraes</cp:lastModifiedBy>
  <cp:revision>21</cp:revision>
  <cp:lastPrinted>2026-09-07T11:25:00Z</cp:lastPrinted>
  <dcterms:created xsi:type="dcterms:W3CDTF">2026-08-18T12:54:00Z</dcterms:created>
  <dcterms:modified xsi:type="dcterms:W3CDTF">2026-09-07T23:38:00Z</dcterms:modified>
  <dc:language>en-US</dc:language>
</cp:coreProperties>
</file>