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8E544B0" w14:textId="26A3A6C0" w:rsidR="009303D9" w:rsidRDefault="008C1302" w:rsidP="006347CF">
      <w:pPr>
        <w:pStyle w:val="papertitle"/>
        <w:spacing w:before="5pt" w:beforeAutospacing="1" w:after="5pt" w:afterAutospacing="1"/>
      </w:pPr>
      <w:r>
        <w:t xml:space="preserve">Improving </w:t>
      </w:r>
      <w:r w:rsidRPr="008C1302">
        <w:t>LLM</w:t>
      </w:r>
      <w:r>
        <w:t>s p</w:t>
      </w:r>
      <w:r w:rsidRPr="008C1302">
        <w:t>erformance with RAG</w:t>
      </w:r>
    </w:p>
    <w:p w14:paraId="6D735D0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7F6C3CDA" w14:textId="57148A8C" w:rsidR="008C1302" w:rsidRPr="00B50DFA" w:rsidRDefault="008C1302" w:rsidP="008C1302">
      <w:pPr>
        <w:pStyle w:val="Author"/>
        <w:spacing w:before="5pt" w:beforeAutospacing="1"/>
        <w:rPr>
          <w:sz w:val="18"/>
          <w:szCs w:val="18"/>
          <w:lang w:val="pt-BR"/>
        </w:rPr>
      </w:pPr>
      <w:r w:rsidRPr="00B50DFA">
        <w:rPr>
          <w:sz w:val="18"/>
          <w:szCs w:val="18"/>
          <w:lang w:val="pt-BR"/>
        </w:rPr>
        <w:br/>
      </w:r>
      <w:r w:rsidR="006347CF" w:rsidRPr="00B50DFA">
        <w:rPr>
          <w:sz w:val="18"/>
          <w:szCs w:val="18"/>
          <w:lang w:val="pt-BR"/>
        </w:rPr>
        <w:br/>
      </w:r>
      <w:r w:rsidR="006347CF" w:rsidRPr="00B50DFA">
        <w:rPr>
          <w:sz w:val="18"/>
          <w:szCs w:val="18"/>
          <w:lang w:val="pt-BR"/>
        </w:rPr>
        <w:br/>
      </w:r>
    </w:p>
    <w:p w14:paraId="79EC3AC4" w14:textId="4A14004A" w:rsidR="008C1302" w:rsidRPr="00B50DFA" w:rsidRDefault="00B50DFA" w:rsidP="008C1302">
      <w:pPr>
        <w:pStyle w:val="Author"/>
        <w:spacing w:before="5pt" w:beforeAutospacing="1"/>
        <w:rPr>
          <w:sz w:val="18"/>
          <w:szCs w:val="18"/>
          <w:lang w:val="pt-BR"/>
        </w:rPr>
      </w:pPr>
      <w:r w:rsidRPr="00B50DFA">
        <w:rPr>
          <w:sz w:val="18"/>
          <w:szCs w:val="18"/>
          <w:lang w:val="pt-BR"/>
        </w:rPr>
        <w:t>1</w:t>
      </w:r>
      <w:r w:rsidRPr="00B50DFA">
        <w:rPr>
          <w:sz w:val="18"/>
          <w:szCs w:val="18"/>
          <w:vertAlign w:val="superscript"/>
          <w:lang w:val="pt-BR"/>
        </w:rPr>
        <w:t>st</w:t>
      </w:r>
      <w:r w:rsidRPr="00B50DFA">
        <w:rPr>
          <w:sz w:val="18"/>
          <w:szCs w:val="18"/>
          <w:lang w:val="pt-BR"/>
        </w:rPr>
        <w:t xml:space="preserve"> Thiago Souza </w:t>
      </w:r>
      <w:r w:rsidRPr="00B50DFA">
        <w:rPr>
          <w:sz w:val="18"/>
          <w:szCs w:val="18"/>
          <w:lang w:val="pt-BR"/>
        </w:rPr>
        <w:br/>
        <w:t>Centro de Informática</w:t>
      </w:r>
      <w:r w:rsidRPr="00B50DFA">
        <w:rPr>
          <w:sz w:val="18"/>
          <w:szCs w:val="18"/>
          <w:lang w:val="pt-BR"/>
        </w:rPr>
        <w:br/>
      </w:r>
      <w:r w:rsidRPr="00B50DFA">
        <w:rPr>
          <w:i/>
          <w:sz w:val="18"/>
          <w:szCs w:val="18"/>
          <w:lang w:val="pt-BR"/>
        </w:rPr>
        <w:t>UFPE</w:t>
      </w:r>
      <w:r w:rsidRPr="00B50DFA">
        <w:rPr>
          <w:i/>
          <w:sz w:val="18"/>
          <w:szCs w:val="18"/>
          <w:lang w:val="pt-BR"/>
        </w:rPr>
        <w:br/>
      </w:r>
      <w:r w:rsidRPr="00B50DFA">
        <w:rPr>
          <w:sz w:val="18"/>
          <w:szCs w:val="18"/>
          <w:lang w:val="pt-BR"/>
        </w:rPr>
        <w:t>Recife – PE, Brazil</w:t>
      </w:r>
      <w:r w:rsidRPr="00B50DFA">
        <w:rPr>
          <w:sz w:val="18"/>
          <w:szCs w:val="18"/>
          <w:lang w:val="pt-BR"/>
        </w:rPr>
        <w:br/>
        <w:t>tas3@cin.ufpe.br</w:t>
      </w:r>
    </w:p>
    <w:p w14:paraId="7DC3BD49" w14:textId="76677479" w:rsidR="008C1302" w:rsidRPr="008C1302" w:rsidRDefault="001A3B3D" w:rsidP="008C1302">
      <w:pPr>
        <w:pStyle w:val="Author"/>
        <w:spacing w:before="5pt" w:beforeAutospacing="1"/>
        <w:rPr>
          <w:sz w:val="18"/>
          <w:szCs w:val="18"/>
          <w:lang w:val="pt-BR"/>
        </w:rPr>
      </w:pPr>
      <w:r w:rsidRPr="008C1302">
        <w:rPr>
          <w:sz w:val="18"/>
          <w:szCs w:val="18"/>
          <w:lang w:val="pt-BR"/>
        </w:rPr>
        <w:t>2</w:t>
      </w:r>
      <w:r w:rsidRPr="008C1302">
        <w:rPr>
          <w:sz w:val="18"/>
          <w:szCs w:val="18"/>
          <w:vertAlign w:val="superscript"/>
          <w:lang w:val="pt-BR"/>
        </w:rPr>
        <w:t>nd</w:t>
      </w:r>
      <w:r w:rsidRPr="008C1302">
        <w:rPr>
          <w:sz w:val="18"/>
          <w:szCs w:val="18"/>
          <w:lang w:val="pt-BR"/>
        </w:rPr>
        <w:t xml:space="preserve"> </w:t>
      </w:r>
      <w:r w:rsidR="008C1302" w:rsidRPr="008C1302">
        <w:rPr>
          <w:sz w:val="18"/>
          <w:szCs w:val="18"/>
          <w:lang w:val="pt-BR"/>
        </w:rPr>
        <w:t>Cleber Zanchetin</w:t>
      </w:r>
      <w:r w:rsidRPr="008C1302">
        <w:rPr>
          <w:sz w:val="18"/>
          <w:szCs w:val="18"/>
          <w:lang w:val="pt-BR"/>
        </w:rPr>
        <w:br/>
      </w:r>
      <w:r w:rsidR="008C1302" w:rsidRPr="008C1302">
        <w:rPr>
          <w:sz w:val="18"/>
          <w:szCs w:val="18"/>
          <w:lang w:val="pt-BR"/>
        </w:rPr>
        <w:t>Centro de Informática</w:t>
      </w:r>
      <w:r w:rsidR="008C1302" w:rsidRPr="008C1302">
        <w:rPr>
          <w:sz w:val="18"/>
          <w:szCs w:val="18"/>
          <w:lang w:val="pt-BR"/>
        </w:rPr>
        <w:br/>
      </w:r>
      <w:r w:rsidR="008C1302" w:rsidRPr="008C1302">
        <w:rPr>
          <w:i/>
          <w:sz w:val="18"/>
          <w:szCs w:val="18"/>
          <w:lang w:val="pt-BR"/>
        </w:rPr>
        <w:t>UFPE</w:t>
      </w:r>
      <w:r w:rsidR="008C1302" w:rsidRPr="008C1302">
        <w:rPr>
          <w:i/>
          <w:sz w:val="18"/>
          <w:szCs w:val="18"/>
          <w:lang w:val="pt-BR"/>
        </w:rPr>
        <w:br/>
      </w:r>
      <w:r w:rsidR="008C1302" w:rsidRPr="008C1302">
        <w:rPr>
          <w:sz w:val="18"/>
          <w:szCs w:val="18"/>
          <w:lang w:val="pt-BR"/>
        </w:rPr>
        <w:t>Recife – PE, Brazil</w:t>
      </w:r>
      <w:r w:rsidR="008C1302" w:rsidRPr="008C1302">
        <w:rPr>
          <w:sz w:val="18"/>
          <w:szCs w:val="18"/>
          <w:lang w:val="pt-BR"/>
        </w:rPr>
        <w:br/>
        <w:t>tas3@cin.ufpe.br</w:t>
      </w:r>
      <w:r w:rsidR="008C1302" w:rsidRPr="008C1302">
        <w:rPr>
          <w:sz w:val="18"/>
          <w:szCs w:val="18"/>
          <w:lang w:val="pt-BR"/>
        </w:rPr>
        <w:t xml:space="preserve"> </w:t>
      </w:r>
    </w:p>
    <w:p w14:paraId="1C0700B3" w14:textId="19B12FCF" w:rsidR="00CA4392" w:rsidRPr="008C1302" w:rsidRDefault="00CA4392" w:rsidP="00CA4392">
      <w:pPr>
        <w:pStyle w:val="Author"/>
        <w:spacing w:before="5pt" w:beforeAutospacing="1"/>
        <w:contextualSpacing/>
        <w:rPr>
          <w:sz w:val="18"/>
          <w:szCs w:val="18"/>
          <w:lang w:val="pt-BR"/>
        </w:rPr>
      </w:pPr>
    </w:p>
    <w:p w14:paraId="53B284A1" w14:textId="77777777" w:rsidR="00CA4392" w:rsidRPr="008C1302" w:rsidRDefault="00CA4392" w:rsidP="00CA4392">
      <w:pPr>
        <w:pStyle w:val="Author"/>
        <w:spacing w:before="5pt" w:beforeAutospacing="1"/>
        <w:contextualSpacing/>
        <w:rPr>
          <w:sz w:val="18"/>
          <w:szCs w:val="18"/>
          <w:lang w:val="pt-BR"/>
        </w:rPr>
      </w:pPr>
    </w:p>
    <w:p w14:paraId="0296F7C6" w14:textId="77777777" w:rsidR="00CA4392" w:rsidRPr="008C1302" w:rsidRDefault="00CA4392" w:rsidP="00CA4392">
      <w:pPr>
        <w:pStyle w:val="Author"/>
        <w:spacing w:before="5pt" w:beforeAutospacing="1"/>
        <w:contextualSpacing/>
        <w:rPr>
          <w:sz w:val="18"/>
          <w:szCs w:val="18"/>
          <w:lang w:val="pt-BR"/>
        </w:rPr>
      </w:pPr>
    </w:p>
    <w:p w14:paraId="74AC0DE4" w14:textId="77777777" w:rsidR="00CA4392" w:rsidRPr="008C1302" w:rsidRDefault="00CA4392" w:rsidP="00CA4392">
      <w:pPr>
        <w:pStyle w:val="Author"/>
        <w:spacing w:before="5pt" w:beforeAutospacing="1"/>
        <w:contextualSpacing/>
        <w:rPr>
          <w:sz w:val="18"/>
          <w:szCs w:val="18"/>
          <w:lang w:val="pt-BR"/>
        </w:rPr>
      </w:pPr>
    </w:p>
    <w:p w14:paraId="079DCF0E" w14:textId="77777777" w:rsidR="00CA4392" w:rsidRPr="008C1302" w:rsidRDefault="00CA4392" w:rsidP="00CA4392">
      <w:pPr>
        <w:pStyle w:val="Author"/>
        <w:spacing w:before="5pt" w:beforeAutospacing="1"/>
        <w:contextualSpacing/>
        <w:rPr>
          <w:sz w:val="18"/>
          <w:szCs w:val="18"/>
          <w:lang w:val="pt-BR"/>
        </w:rPr>
      </w:pPr>
    </w:p>
    <w:p w14:paraId="4C1D13CB" w14:textId="77777777" w:rsidR="00CA4392" w:rsidRPr="008C1302" w:rsidRDefault="00CA4392" w:rsidP="00CA4392">
      <w:pPr>
        <w:pStyle w:val="Author"/>
        <w:spacing w:before="5pt" w:beforeAutospacing="1"/>
        <w:contextualSpacing/>
        <w:rPr>
          <w:sz w:val="18"/>
          <w:szCs w:val="18"/>
          <w:lang w:val="pt-BR"/>
        </w:rPr>
      </w:pPr>
    </w:p>
    <w:p w14:paraId="128D2612" w14:textId="77777777" w:rsidR="00CA4392" w:rsidRPr="008C1302" w:rsidRDefault="00CA4392" w:rsidP="00CA4392">
      <w:pPr>
        <w:pStyle w:val="Author"/>
        <w:spacing w:before="5pt" w:beforeAutospacing="1"/>
        <w:rPr>
          <w:sz w:val="16"/>
          <w:szCs w:val="16"/>
          <w:lang w:val="pt-BR"/>
        </w:rPr>
        <w:sectPr w:rsidR="00CA4392" w:rsidRPr="008C1302" w:rsidSect="00F847A6">
          <w:type w:val="continuous"/>
          <w:pgSz w:w="612pt" w:h="792pt" w:code="1"/>
          <w:pgMar w:top="54pt" w:right="44.65pt" w:bottom="72pt" w:left="44.65pt" w:header="36pt" w:footer="36pt" w:gutter="0pt"/>
          <w:cols w:num="4" w:space="10.80pt"/>
          <w:docGrid w:linePitch="360"/>
        </w:sectPr>
      </w:pPr>
    </w:p>
    <w:p w14:paraId="4BFA336A" w14:textId="77777777" w:rsidR="006347CF" w:rsidRPr="008C1302" w:rsidRDefault="006347CF" w:rsidP="00CA4392">
      <w:pPr>
        <w:pStyle w:val="Author"/>
        <w:spacing w:before="5pt" w:beforeAutospacing="1"/>
        <w:jc w:val="both"/>
        <w:rPr>
          <w:sz w:val="16"/>
          <w:szCs w:val="16"/>
          <w:lang w:val="pt-BR"/>
        </w:rPr>
      </w:pPr>
    </w:p>
    <w:p w14:paraId="58935029" w14:textId="77777777" w:rsidR="006347CF" w:rsidRPr="008C1302" w:rsidRDefault="006347CF" w:rsidP="00CA4392">
      <w:pPr>
        <w:pStyle w:val="Author"/>
        <w:spacing w:before="5pt" w:beforeAutospacing="1"/>
        <w:jc w:val="both"/>
        <w:rPr>
          <w:sz w:val="16"/>
          <w:szCs w:val="16"/>
          <w:lang w:val="pt-BR"/>
        </w:rPr>
        <w:sectPr w:rsidR="006347CF" w:rsidRPr="008C1302" w:rsidSect="00F847A6">
          <w:type w:val="continuous"/>
          <w:pgSz w:w="612pt" w:h="792pt" w:code="1"/>
          <w:pgMar w:top="54pt" w:right="44.65pt" w:bottom="72pt" w:left="44.65pt" w:header="36pt" w:footer="36pt" w:gutter="0pt"/>
          <w:cols w:num="4" w:space="10.80pt"/>
          <w:docGrid w:linePitch="360"/>
        </w:sectPr>
      </w:pPr>
    </w:p>
    <w:p w14:paraId="267708E4" w14:textId="23ADA636" w:rsidR="004D72B5" w:rsidRPr="003940CF" w:rsidRDefault="009303D9" w:rsidP="003940CF">
      <w:pPr>
        <w:ind w:firstLine="13.70pt"/>
        <w:jc w:val="both"/>
        <w:rPr>
          <w:b/>
          <w:bCs/>
          <w:sz w:val="18"/>
          <w:szCs w:val="18"/>
        </w:rPr>
      </w:pPr>
      <w:r w:rsidRPr="003940CF">
        <w:rPr>
          <w:b/>
          <w:bCs/>
          <w:sz w:val="18"/>
          <w:szCs w:val="18"/>
        </w:rPr>
        <w:t>Abstract</w:t>
      </w:r>
      <w:r w:rsidR="00BA77C1" w:rsidRPr="003940CF">
        <w:rPr>
          <w:b/>
          <w:bCs/>
          <w:sz w:val="18"/>
          <w:szCs w:val="18"/>
        </w:rPr>
        <w:t xml:space="preserve"> </w:t>
      </w:r>
      <w:r w:rsidRPr="003940CF">
        <w:rPr>
          <w:b/>
          <w:bCs/>
          <w:sz w:val="18"/>
          <w:szCs w:val="18"/>
        </w:rPr>
        <w:t>—</w:t>
      </w:r>
      <w:r w:rsidR="006E3FA5">
        <w:t xml:space="preserve"> </w:t>
      </w:r>
      <w:r w:rsidR="006E3FA5" w:rsidRPr="006E3FA5">
        <w:rPr>
          <w:b/>
          <w:bCs/>
          <w:sz w:val="18"/>
          <w:szCs w:val="18"/>
        </w:rPr>
        <w:t>Large Language Models (LLMs) have revolutionized access to knowledge, enabling anyone with an internet connection to explore a vast array of topics. However, LLMs are inherently limited by their training data and struggle with subjects beyond their pre-trained knowledge. This challenge is even more pronounced in smaller LLMs, which, due to their reduced parameter count, have a lower capacity to capture complex or niche information. With the growing interest in deploying LLMs on edge devices or local systems, improving their performance is crucial. In this study, we explore how Retrieval-Augmented Generation (RAG) can enhance the inference capabilities of small LLMs by dynamically incorporating relevant context from a vector database. Our research evaluates the extent to which RAG can bridge the performance gap betw</w:t>
      </w:r>
      <w:r w:rsidR="006E3FA5" w:rsidRPr="003940CF">
        <w:rPr>
          <w:b/>
          <w:bCs/>
          <w:sz w:val="18"/>
          <w:szCs w:val="18"/>
        </w:rPr>
        <w:t>een small and large LLMs, making them more viable for real-world applications</w:t>
      </w:r>
      <w:r w:rsidRPr="003940CF">
        <w:rPr>
          <w:sz w:val="18"/>
          <w:szCs w:val="18"/>
        </w:rPr>
        <w:t>.</w:t>
      </w:r>
      <w:r w:rsidR="001A42EA" w:rsidRPr="003940CF">
        <w:rPr>
          <w:iCs/>
          <w:sz w:val="18"/>
          <w:szCs w:val="18"/>
        </w:rPr>
        <w:t xml:space="preserve"> </w:t>
      </w:r>
    </w:p>
    <w:p w14:paraId="3F9CDE0E" w14:textId="5635E92E" w:rsidR="009303D9" w:rsidRPr="003940CF" w:rsidRDefault="004D72B5" w:rsidP="00972203">
      <w:pPr>
        <w:pStyle w:val="Keywords"/>
      </w:pPr>
      <w:r w:rsidRPr="003940CF">
        <w:t>Keywords</w:t>
      </w:r>
      <w:r w:rsidR="003940CF">
        <w:t xml:space="preserve"> </w:t>
      </w:r>
      <w:r w:rsidRPr="003940CF">
        <w:t>—</w:t>
      </w:r>
      <w:r w:rsidR="003940CF">
        <w:t xml:space="preserve"> </w:t>
      </w:r>
      <w:r w:rsidR="003940CF" w:rsidRPr="003940CF">
        <w:t>LLM, RAG, Retrieval-Augmented Generation, Small Language Models, Vector Databases</w:t>
      </w:r>
    </w:p>
    <w:p w14:paraId="7FFFA702" w14:textId="7CCA4D30" w:rsidR="009303D9" w:rsidRPr="00D632BE" w:rsidRDefault="00B97A31" w:rsidP="006B6B66">
      <w:pPr>
        <w:pStyle w:val="Heading1"/>
      </w:pPr>
      <w:r>
        <w:t>Background</w:t>
      </w:r>
    </w:p>
    <w:p w14:paraId="127AEA8A" w14:textId="3BA7A986" w:rsidR="006D335D" w:rsidRPr="006D335D" w:rsidRDefault="006D335D" w:rsidP="006D335D">
      <w:pPr>
        <w:pStyle w:val="BodyText"/>
        <w:rPr>
          <w:lang w:val="en-US"/>
        </w:rPr>
      </w:pPr>
      <w:r w:rsidRPr="006D335D">
        <w:rPr>
          <w:lang w:val="en-US"/>
        </w:rPr>
        <w:t xml:space="preserve">The introduction of Multi-Head Attention transformer-based Large Language Models (LLMs) </w:t>
      </w:r>
      <w:r>
        <w:t>[1] (</w:t>
      </w:r>
      <w:hyperlink r:id="rId9" w:history="1">
        <w:r w:rsidRPr="00E26AA7">
          <w:rPr>
            <w:rStyle w:val="Hyperlink"/>
          </w:rPr>
          <w:t>https://arxiv.org/abs/1706.03762</w:t>
        </w:r>
      </w:hyperlink>
      <w:r>
        <w:t>)</w:t>
      </w:r>
      <w:r w:rsidRPr="006D335D">
        <w:rPr>
          <w:lang w:val="en-US"/>
        </w:rPr>
        <w:t xml:space="preserve"> revolutionized how people learn, work, and interact with technology. OpenAI popularized these models through their online web chat tool, ChatGPT, making advanced AI-driven conversations accessible to the general public.</w:t>
      </w:r>
    </w:p>
    <w:p w14:paraId="44EDA6D0" w14:textId="2A1F46B5" w:rsidR="006D335D" w:rsidRPr="006D335D" w:rsidRDefault="006D335D" w:rsidP="006D335D">
      <w:pPr>
        <w:pStyle w:val="BodyText"/>
        <w:rPr>
          <w:lang w:val="en-US"/>
        </w:rPr>
      </w:pPr>
      <w:r w:rsidRPr="006D335D">
        <w:rPr>
          <w:lang w:val="en-US"/>
        </w:rPr>
        <w:t>Before LLMs, computer-based search primarily relied on string matching or heuristic-based algorithms in platforms like Google and Bing. These approaches, while effective, often required users to formulate precise queries and manually filter through results. The advent of LLMs fundamentally changed this dynamic by enabling users to engage in natural language interactions. Instead of merely retrieving keyword-based results, LLMs interpret queries contextually and generate human-like responses, giving users the impression of conversing with an intelligent assistant.</w:t>
      </w:r>
    </w:p>
    <w:p w14:paraId="6C255F2A" w14:textId="77777777" w:rsidR="006D335D" w:rsidRDefault="006D335D" w:rsidP="006D335D">
      <w:pPr>
        <w:pStyle w:val="BodyText"/>
        <w:rPr>
          <w:lang w:val="en-US"/>
        </w:rPr>
      </w:pPr>
      <w:r w:rsidRPr="006D335D">
        <w:rPr>
          <w:lang w:val="en-US"/>
        </w:rPr>
        <w:t>This transformation not only enhanced search and information retrieval but also expanded how people process and synthesize knowledge. By leveraging attention mechanisms and text embeddings, LLMs facilitate semantic search, allowing users to explore topics more intuitively and extract deeper insights from their queries.</w:t>
      </w:r>
    </w:p>
    <w:p w14:paraId="164518B5" w14:textId="027C92D1" w:rsidR="001224DE" w:rsidRPr="001224DE" w:rsidRDefault="00D27CC0" w:rsidP="001224DE">
      <w:pPr>
        <w:pStyle w:val="BodyText"/>
        <w:rPr>
          <w:lang w:val="en-US"/>
        </w:rPr>
      </w:pPr>
      <w:r>
        <w:rPr>
          <w:lang w:val="en-US"/>
        </w:rPr>
        <w:t>However, running inference-based pipelines on those LLMs is only possible in very powerful data centers as it’s massively dependent on a very high number of GPUs</w:t>
      </w:r>
      <w:r w:rsidR="00B2245B">
        <w:rPr>
          <w:lang w:val="en-US"/>
        </w:rPr>
        <w:t xml:space="preserve"> and energy availability – which are significant issues in resource constrained environments</w:t>
      </w:r>
      <w:r>
        <w:rPr>
          <w:lang w:val="en-US"/>
        </w:rPr>
        <w:t xml:space="preserve">. LLMs are also very high energy consumers which makes it also very expensive to run on scale. </w:t>
      </w:r>
      <w:r>
        <w:rPr>
          <w:lang w:val="en-US"/>
        </w:rPr>
        <w:t>That has created the</w:t>
      </w:r>
      <w:r w:rsidR="00B2245B">
        <w:rPr>
          <w:lang w:val="en-US"/>
        </w:rPr>
        <w:t xml:space="preserve"> need of having to explore and </w:t>
      </w:r>
      <w:r>
        <w:rPr>
          <w:lang w:val="en-US"/>
        </w:rPr>
        <w:t>design Small Language Models (SM) that</w:t>
      </w:r>
      <w:r w:rsidR="00B2245B">
        <w:rPr>
          <w:lang w:val="en-US"/>
        </w:rPr>
        <w:t xml:space="preserve">, in nature, </w:t>
      </w:r>
      <w:r>
        <w:rPr>
          <w:lang w:val="en-US"/>
        </w:rPr>
        <w:t>are similar to LLMs but rely on a much smaller number of parameters</w:t>
      </w:r>
      <w:r w:rsidR="00B2245B">
        <w:rPr>
          <w:lang w:val="en-US"/>
        </w:rPr>
        <w:t xml:space="preserve"> hance have more lightweight inference in terms of GPU requirements and energy consumption</w:t>
      </w:r>
      <w:r>
        <w:rPr>
          <w:lang w:val="en-US"/>
        </w:rPr>
        <w:t>.</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415"/>
        <w:gridCol w:w="1510"/>
        <w:gridCol w:w="1935"/>
      </w:tblGrid>
      <w:tr w:rsidR="007A4CB1" w14:paraId="2C9383E4" w14:textId="77777777" w:rsidTr="007A4CB1">
        <w:trPr>
          <w:cantSplit/>
          <w:trHeight w:val="240"/>
          <w:tblHeader/>
          <w:jc w:val="center"/>
        </w:trPr>
        <w:tc>
          <w:tcPr>
            <w:tcW w:w="70.75pt" w:type="dxa"/>
            <w:vAlign w:val="center"/>
          </w:tcPr>
          <w:p w14:paraId="68F0B46C" w14:textId="293D2E91" w:rsidR="007A4CB1" w:rsidRDefault="007A4CB1" w:rsidP="00B84EBF">
            <w:pPr>
              <w:pStyle w:val="tablecolhead"/>
            </w:pPr>
            <w:r>
              <w:t>Dimension</w:t>
            </w:r>
          </w:p>
        </w:tc>
        <w:tc>
          <w:tcPr>
            <w:tcW w:w="75.50pt" w:type="dxa"/>
            <w:vAlign w:val="center"/>
          </w:tcPr>
          <w:p w14:paraId="4B81E6AB" w14:textId="591E0D55" w:rsidR="007A4CB1" w:rsidRDefault="007A4CB1" w:rsidP="00B84EBF">
            <w:pPr>
              <w:pStyle w:val="tablecolhead"/>
            </w:pPr>
            <w:r>
              <w:t>LLMs</w:t>
            </w:r>
          </w:p>
        </w:tc>
        <w:tc>
          <w:tcPr>
            <w:tcW w:w="96.75pt" w:type="dxa"/>
            <w:vAlign w:val="center"/>
          </w:tcPr>
          <w:p w14:paraId="75467F6E" w14:textId="2807920A" w:rsidR="007A4CB1" w:rsidRDefault="007A4CB1" w:rsidP="00B84EBF">
            <w:pPr>
              <w:pStyle w:val="tablecolhead"/>
            </w:pPr>
            <w:r>
              <w:t>S</w:t>
            </w:r>
            <w:r>
              <w:t>Ms</w:t>
            </w:r>
          </w:p>
        </w:tc>
      </w:tr>
      <w:tr w:rsidR="007A4CB1" w14:paraId="00C2BC92" w14:textId="77777777" w:rsidTr="007A4CB1">
        <w:trPr>
          <w:cantSplit/>
          <w:trHeight w:val="240"/>
          <w:tblHeader/>
          <w:jc w:val="center"/>
        </w:trPr>
        <w:tc>
          <w:tcPr>
            <w:tcW w:w="70.75pt" w:type="dxa"/>
            <w:vAlign w:val="center"/>
          </w:tcPr>
          <w:p w14:paraId="0C688B5B" w14:textId="2A296041" w:rsidR="007A4CB1" w:rsidRDefault="007A4CB1" w:rsidP="00B84EBF">
            <w:pPr>
              <w:pStyle w:val="tablecolhead"/>
            </w:pPr>
            <w:r>
              <w:t>Accuracy</w:t>
            </w:r>
          </w:p>
        </w:tc>
        <w:tc>
          <w:tcPr>
            <w:tcW w:w="75.50pt" w:type="dxa"/>
            <w:vAlign w:val="center"/>
          </w:tcPr>
          <w:p w14:paraId="4C8D4704" w14:textId="4D5ABC43" w:rsidR="007A4CB1" w:rsidRPr="007A4CB1" w:rsidRDefault="007A4CB1" w:rsidP="00B84EBF">
            <w:pPr>
              <w:pStyle w:val="tablecolhead"/>
              <w:rPr>
                <w:b w:val="0"/>
                <w:bCs w:val="0"/>
              </w:rPr>
            </w:pPr>
            <w:r w:rsidRPr="007A4CB1">
              <w:rPr>
                <w:b w:val="0"/>
                <w:bCs w:val="0"/>
              </w:rPr>
              <w:t>state-of-the-art</w:t>
            </w:r>
          </w:p>
        </w:tc>
        <w:tc>
          <w:tcPr>
            <w:tcW w:w="96.75pt" w:type="dxa"/>
            <w:vAlign w:val="center"/>
          </w:tcPr>
          <w:p w14:paraId="21B6E6D8" w14:textId="4A5C1F44" w:rsidR="007A4CB1" w:rsidRPr="007A4CB1" w:rsidRDefault="007A4CB1" w:rsidP="00B84EBF">
            <w:pPr>
              <w:pStyle w:val="tablecolhead"/>
              <w:rPr>
                <w:b w:val="0"/>
                <w:bCs w:val="0"/>
              </w:rPr>
            </w:pPr>
            <w:r w:rsidRPr="007A4CB1">
              <w:rPr>
                <w:b w:val="0"/>
                <w:bCs w:val="0"/>
              </w:rPr>
              <w:t>decent</w:t>
            </w:r>
          </w:p>
        </w:tc>
      </w:tr>
      <w:tr w:rsidR="007A4CB1" w14:paraId="61C1877A" w14:textId="77777777" w:rsidTr="007A4CB1">
        <w:trPr>
          <w:cantSplit/>
          <w:trHeight w:val="240"/>
          <w:tblHeader/>
          <w:jc w:val="center"/>
        </w:trPr>
        <w:tc>
          <w:tcPr>
            <w:tcW w:w="70.75pt" w:type="dxa"/>
            <w:vAlign w:val="center"/>
          </w:tcPr>
          <w:p w14:paraId="41C8C84B" w14:textId="6E2EC7F1" w:rsidR="007A4CB1" w:rsidRDefault="007A4CB1" w:rsidP="00B84EBF">
            <w:pPr>
              <w:pStyle w:val="tablecolhead"/>
            </w:pPr>
            <w:r>
              <w:t>Generality</w:t>
            </w:r>
          </w:p>
        </w:tc>
        <w:tc>
          <w:tcPr>
            <w:tcW w:w="75.50pt" w:type="dxa"/>
            <w:vAlign w:val="center"/>
          </w:tcPr>
          <w:p w14:paraId="4EB8C873" w14:textId="25B2E35E" w:rsidR="007A4CB1" w:rsidRPr="007A4CB1" w:rsidRDefault="007A4CB1" w:rsidP="00B84EBF">
            <w:pPr>
              <w:pStyle w:val="tablecolhead"/>
              <w:rPr>
                <w:b w:val="0"/>
                <w:bCs w:val="0"/>
              </w:rPr>
            </w:pPr>
            <w:r w:rsidRPr="007A4CB1">
              <w:rPr>
                <w:b w:val="0"/>
                <w:bCs w:val="0"/>
              </w:rPr>
              <w:t>general purpose</w:t>
            </w:r>
          </w:p>
        </w:tc>
        <w:tc>
          <w:tcPr>
            <w:tcW w:w="96.75pt" w:type="dxa"/>
            <w:vAlign w:val="center"/>
          </w:tcPr>
          <w:p w14:paraId="21EED080" w14:textId="7B93E5C1" w:rsidR="007A4CB1" w:rsidRPr="007A4CB1" w:rsidRDefault="007A4CB1" w:rsidP="00B84EBF">
            <w:pPr>
              <w:pStyle w:val="tablecolhead"/>
              <w:rPr>
                <w:b w:val="0"/>
                <w:bCs w:val="0"/>
              </w:rPr>
            </w:pPr>
            <w:r>
              <w:rPr>
                <w:b w:val="0"/>
                <w:bCs w:val="0"/>
              </w:rPr>
              <w:t>task specific</w:t>
            </w:r>
          </w:p>
        </w:tc>
      </w:tr>
      <w:tr w:rsidR="007A4CB1" w14:paraId="2213180B" w14:textId="77777777" w:rsidTr="007A4CB1">
        <w:trPr>
          <w:cantSplit/>
          <w:trHeight w:val="240"/>
          <w:tblHeader/>
          <w:jc w:val="center"/>
        </w:trPr>
        <w:tc>
          <w:tcPr>
            <w:tcW w:w="70.75pt" w:type="dxa"/>
            <w:vAlign w:val="center"/>
          </w:tcPr>
          <w:p w14:paraId="1113A4F3" w14:textId="6258E301" w:rsidR="007A4CB1" w:rsidRDefault="007A4CB1" w:rsidP="00B84EBF">
            <w:pPr>
              <w:pStyle w:val="tablecolhead"/>
            </w:pPr>
            <w:r>
              <w:t>Efficiency</w:t>
            </w:r>
          </w:p>
        </w:tc>
        <w:tc>
          <w:tcPr>
            <w:tcW w:w="75.50pt" w:type="dxa"/>
            <w:vAlign w:val="center"/>
          </w:tcPr>
          <w:p w14:paraId="39ABBE57" w14:textId="29585E44" w:rsidR="007A4CB1" w:rsidRPr="007A4CB1" w:rsidRDefault="007A4CB1" w:rsidP="00B84EBF">
            <w:pPr>
              <w:pStyle w:val="tablecolhead"/>
              <w:rPr>
                <w:b w:val="0"/>
                <w:bCs w:val="0"/>
              </w:rPr>
            </w:pPr>
            <w:r>
              <w:rPr>
                <w:b w:val="0"/>
                <w:bCs w:val="0"/>
              </w:rPr>
              <w:t>resource intensive</w:t>
            </w:r>
          </w:p>
        </w:tc>
        <w:tc>
          <w:tcPr>
            <w:tcW w:w="96.75pt" w:type="dxa"/>
            <w:vAlign w:val="center"/>
          </w:tcPr>
          <w:p w14:paraId="0CB1F510" w14:textId="099A44E3" w:rsidR="007A4CB1" w:rsidRPr="007A4CB1" w:rsidRDefault="007A4CB1" w:rsidP="00B84EBF">
            <w:pPr>
              <w:pStyle w:val="tablecolhead"/>
              <w:rPr>
                <w:b w:val="0"/>
                <w:bCs w:val="0"/>
              </w:rPr>
            </w:pPr>
            <w:r>
              <w:rPr>
                <w:b w:val="0"/>
                <w:bCs w:val="0"/>
              </w:rPr>
              <w:t>resource efficient</w:t>
            </w:r>
          </w:p>
        </w:tc>
      </w:tr>
      <w:tr w:rsidR="007A4CB1" w14:paraId="052C74B3" w14:textId="77777777" w:rsidTr="007A4CB1">
        <w:trPr>
          <w:cantSplit/>
          <w:trHeight w:val="240"/>
          <w:tblHeader/>
          <w:jc w:val="center"/>
        </w:trPr>
        <w:tc>
          <w:tcPr>
            <w:tcW w:w="70.75pt" w:type="dxa"/>
            <w:vAlign w:val="center"/>
          </w:tcPr>
          <w:p w14:paraId="70AA5DCA" w14:textId="54799980" w:rsidR="007A4CB1" w:rsidRDefault="007A4CB1" w:rsidP="00B84EBF">
            <w:pPr>
              <w:pStyle w:val="tablecolhead"/>
            </w:pPr>
            <w:r>
              <w:t>Interpretability</w:t>
            </w:r>
          </w:p>
        </w:tc>
        <w:tc>
          <w:tcPr>
            <w:tcW w:w="75.50pt" w:type="dxa"/>
            <w:vAlign w:val="center"/>
          </w:tcPr>
          <w:p w14:paraId="52DCF9E7" w14:textId="4CE034BF" w:rsidR="007A4CB1" w:rsidRPr="007A4CB1" w:rsidRDefault="007A4CB1" w:rsidP="00B84EBF">
            <w:pPr>
              <w:pStyle w:val="tablecolhead"/>
              <w:rPr>
                <w:b w:val="0"/>
                <w:bCs w:val="0"/>
              </w:rPr>
            </w:pPr>
            <w:r>
              <w:rPr>
                <w:b w:val="0"/>
                <w:bCs w:val="0"/>
              </w:rPr>
              <w:t>low interpretable</w:t>
            </w:r>
          </w:p>
        </w:tc>
        <w:tc>
          <w:tcPr>
            <w:tcW w:w="96.75pt" w:type="dxa"/>
            <w:vAlign w:val="center"/>
          </w:tcPr>
          <w:p w14:paraId="026C05F0" w14:textId="17A84E59" w:rsidR="007A4CB1" w:rsidRPr="007A4CB1" w:rsidRDefault="007A4CB1" w:rsidP="001224DE">
            <w:pPr>
              <w:pStyle w:val="tablecolhead"/>
              <w:keepNext/>
              <w:rPr>
                <w:b w:val="0"/>
                <w:bCs w:val="0"/>
              </w:rPr>
            </w:pPr>
            <w:r>
              <w:rPr>
                <w:b w:val="0"/>
                <w:bCs w:val="0"/>
              </w:rPr>
              <w:t>high interpretable</w:t>
            </w:r>
          </w:p>
        </w:tc>
      </w:tr>
    </w:tbl>
    <w:p w14:paraId="33859DD2" w14:textId="56207C10" w:rsidR="007A4CB1" w:rsidRPr="001224DE" w:rsidRDefault="001224DE" w:rsidP="001224DE">
      <w:pPr>
        <w:pStyle w:val="Caption"/>
        <w:rPr>
          <w:i w:val="0"/>
          <w:iCs w:val="0"/>
          <w:lang w:val="en-CA"/>
        </w:rPr>
      </w:pPr>
      <w:r w:rsidRPr="001224DE">
        <w:rPr>
          <w:i w:val="0"/>
          <w:iCs w:val="0"/>
        </w:rPr>
        <w:t xml:space="preserve">Table </w:t>
      </w:r>
      <w:r w:rsidRPr="001224DE">
        <w:rPr>
          <w:i w:val="0"/>
          <w:iCs w:val="0"/>
        </w:rPr>
        <w:fldChar w:fldCharType="begin"/>
      </w:r>
      <w:r w:rsidRPr="001224DE">
        <w:rPr>
          <w:i w:val="0"/>
          <w:iCs w:val="0"/>
        </w:rPr>
        <w:instrText xml:space="preserve"> SEQ Table \* ARABIC </w:instrText>
      </w:r>
      <w:r w:rsidRPr="001224DE">
        <w:rPr>
          <w:i w:val="0"/>
          <w:iCs w:val="0"/>
        </w:rPr>
        <w:fldChar w:fldCharType="separate"/>
      </w:r>
      <w:r w:rsidRPr="001224DE">
        <w:rPr>
          <w:i w:val="0"/>
          <w:iCs w:val="0"/>
          <w:noProof/>
        </w:rPr>
        <w:t>1</w:t>
      </w:r>
      <w:r w:rsidRPr="001224DE">
        <w:rPr>
          <w:i w:val="0"/>
          <w:iCs w:val="0"/>
        </w:rPr>
        <w:fldChar w:fldCharType="end"/>
      </w:r>
      <w:r w:rsidRPr="001224DE">
        <w:rPr>
          <w:i w:val="0"/>
          <w:iCs w:val="0"/>
        </w:rPr>
        <w:t>: comparisons of dimensions between LLMs and SMs</w:t>
      </w:r>
    </w:p>
    <w:p w14:paraId="6994A0EF" w14:textId="72293FE8" w:rsidR="007257F3" w:rsidRDefault="00DD5BFD" w:rsidP="007257F3">
      <w:pPr>
        <w:pStyle w:val="BodyText"/>
        <w:rPr>
          <w:lang w:val="en-CA"/>
        </w:rPr>
      </w:pPr>
      <w:r>
        <w:rPr>
          <w:lang w:val="en-CA"/>
        </w:rPr>
        <w:t xml:space="preserve">Since </w:t>
      </w:r>
      <w:r w:rsidR="00987CF0">
        <w:rPr>
          <w:lang w:val="en-CA"/>
        </w:rPr>
        <w:t xml:space="preserve">knowledge is encoded in parameters </w:t>
      </w:r>
      <w:r>
        <w:rPr>
          <w:lang w:val="en-CA"/>
        </w:rPr>
        <w:t xml:space="preserve">in language </w:t>
      </w:r>
      <w:r w:rsidR="00987CF0">
        <w:rPr>
          <w:lang w:val="en-CA"/>
        </w:rPr>
        <w:t>model</w:t>
      </w:r>
      <w:r>
        <w:rPr>
          <w:lang w:val="en-CA"/>
        </w:rPr>
        <w:t xml:space="preserve">s, </w:t>
      </w:r>
      <w:r w:rsidR="00987CF0">
        <w:rPr>
          <w:lang w:val="en-CA"/>
        </w:rPr>
        <w:t>it’s not surprising that SM</w:t>
      </w:r>
      <w:r>
        <w:rPr>
          <w:lang w:val="en-CA"/>
        </w:rPr>
        <w:t>s</w:t>
      </w:r>
      <w:r w:rsidR="00987CF0">
        <w:rPr>
          <w:lang w:val="en-CA"/>
        </w:rPr>
        <w:t xml:space="preserve"> </w:t>
      </w:r>
      <w:r>
        <w:rPr>
          <w:lang w:val="en-CA"/>
        </w:rPr>
        <w:t>have worse overall performance in inference tasks against their large counterparts. It’s also less capable of generalizing and handle broad spectrum of information [2]</w:t>
      </w:r>
      <w:r w:rsidR="007257F3">
        <w:rPr>
          <w:lang w:val="en-CA"/>
        </w:rPr>
        <w:t xml:space="preserve"> </w:t>
      </w:r>
      <w:r>
        <w:rPr>
          <w:lang w:val="en-CA"/>
        </w:rPr>
        <w:t>(</w:t>
      </w:r>
      <w:hyperlink r:id="rId10" w:history="1">
        <w:r w:rsidR="00B4367D" w:rsidRPr="00E26AA7">
          <w:rPr>
            <w:rStyle w:val="Hyperlink"/>
            <w:lang w:val="en-CA"/>
          </w:rPr>
          <w:t>https://arxiv.org/abs/2302.08091</w:t>
        </w:r>
      </w:hyperlink>
      <w:r>
        <w:rPr>
          <w:lang w:val="en-CA"/>
        </w:rPr>
        <w:t>).</w:t>
      </w:r>
    </w:p>
    <w:p w14:paraId="0C332633" w14:textId="763ABBE5" w:rsidR="007257F3" w:rsidRPr="00B6644C" w:rsidRDefault="007257F3" w:rsidP="007257F3">
      <w:pPr>
        <w:pStyle w:val="BodyText"/>
        <w:rPr>
          <w:lang w:val="en-CA"/>
        </w:rPr>
      </w:pPr>
      <w:r>
        <w:rPr>
          <w:lang w:val="en-CA"/>
        </w:rPr>
        <w:t>There are many techniques such as fine-tuning, knowledge distillation or Retrieval Augmented Generation (RAG) can be used to make SMs more competitive against LLMs. This document aims to explore the use of RAG in the scope of Question / Answer task in fixed knowledge domain as a tool to make SMs a viable option in resource constrained setups.</w:t>
      </w:r>
    </w:p>
    <w:p w14:paraId="3EF35B8D" w14:textId="364AEEBB" w:rsidR="009303D9" w:rsidRDefault="00FF05F9" w:rsidP="006B6B66">
      <w:pPr>
        <w:pStyle w:val="Heading1"/>
      </w:pPr>
      <w:r>
        <w:t>Contributions</w:t>
      </w:r>
    </w:p>
    <w:p w14:paraId="433FB99C" w14:textId="3E091C2C" w:rsidR="007A6ED1" w:rsidRPr="007A6ED1" w:rsidRDefault="007A6ED1" w:rsidP="007A6ED1">
      <w:pPr>
        <w:pStyle w:val="BodyText"/>
        <w:rPr>
          <w:lang w:val="en-US"/>
        </w:rPr>
      </w:pPr>
      <w:r>
        <w:rPr>
          <w:lang w:val="en-US"/>
        </w:rPr>
        <w:t xml:space="preserve">Our objective is to investigate whether and to which extent RAG can help Small Language Models improve or match performance of larger models. </w:t>
      </w:r>
    </w:p>
    <w:p w14:paraId="16565BBB" w14:textId="7978CB79" w:rsidR="007A6ED1" w:rsidRDefault="007A6ED1" w:rsidP="00ED0149">
      <w:pPr>
        <w:pStyle w:val="Heading2"/>
      </w:pPr>
      <w:r>
        <w:t>The experiment</w:t>
      </w:r>
    </w:p>
    <w:p w14:paraId="17165437" w14:textId="5B1F5A04" w:rsidR="007A6ED1" w:rsidRPr="007A6ED1" w:rsidRDefault="007A6ED1" w:rsidP="0042137C">
      <w:pPr>
        <w:pStyle w:val="BodyText"/>
      </w:pPr>
      <w:r>
        <w:t xml:space="preserve">Our exploration involved level steps: </w:t>
      </w:r>
      <w:r>
        <w:t xml:space="preserve">first we ask a given set of questions to various models and evaluate their answers by sending the answer and ground truth to a </w:t>
      </w:r>
      <w:r w:rsidR="0042137C">
        <w:t xml:space="preserve">judge. The judge itself is a Large Language Model itself. For the judge we selected Open AI’s </w:t>
      </w:r>
      <w:r w:rsidR="0042137C">
        <w:t>GPT</w:t>
      </w:r>
      <w:r w:rsidR="0042137C" w:rsidRPr="00605407">
        <w:t>-4o-mini</w:t>
      </w:r>
      <w:r w:rsidR="0042137C">
        <w:t xml:space="preserve"> but in </w:t>
      </w:r>
      <w:r w:rsidR="0042137C">
        <w:t xml:space="preserve">future work </w:t>
      </w:r>
      <w:r w:rsidR="0042137C">
        <w:t xml:space="preserve">it’s worth exploring </w:t>
      </w:r>
      <w:r w:rsidR="0042137C">
        <w:t xml:space="preserve">more capable models such as Open AI’s </w:t>
      </w:r>
      <w:r w:rsidR="0042137C" w:rsidRPr="0042137C">
        <w:rPr>
          <w:i/>
          <w:iCs/>
        </w:rPr>
        <w:t>o3</w:t>
      </w:r>
      <w:r w:rsidR="0042137C">
        <w:t xml:space="preserve"> models that have higher reasoning capabilities. In this research it wasn’t possible due to its high cost per 1M tokens.</w:t>
      </w:r>
    </w:p>
    <w:p w14:paraId="190C0618" w14:textId="55A08E7F" w:rsidR="009303D9" w:rsidRDefault="002C1E4E" w:rsidP="00ED0149">
      <w:pPr>
        <w:pStyle w:val="Heading2"/>
      </w:pPr>
      <w:r>
        <w:t>The</w:t>
      </w:r>
      <w:r w:rsidR="0042137C">
        <w:t xml:space="preserve"> compared</w:t>
      </w:r>
      <w:r>
        <w:t xml:space="preserve"> models</w:t>
      </w:r>
    </w:p>
    <w:p w14:paraId="7D528056" w14:textId="7E8AA3D0" w:rsidR="009303D9" w:rsidRDefault="00BB656A" w:rsidP="00E7596C">
      <w:pPr>
        <w:pStyle w:val="BodyText"/>
      </w:pPr>
      <w:r>
        <w:t>In our research,</w:t>
      </w:r>
      <w:r w:rsidR="002C1E4E">
        <w:t xml:space="preserve"> selected models </w:t>
      </w:r>
      <w:r w:rsidR="00605407">
        <w:t xml:space="preserve">from various vendors and </w:t>
      </w:r>
      <w:r w:rsidR="002C1E4E">
        <w:t>of various sizes and divided them in</w:t>
      </w:r>
      <w:r w:rsidR="00605407">
        <w:t xml:space="preserve"> four high level</w:t>
      </w:r>
      <w:r w:rsidR="002C1E4E">
        <w:t xml:space="preserve"> buckets: tiny (2B or less parameters), small (3B – 7B parameters), medium (8B </w:t>
      </w:r>
      <w:r w:rsidR="00605407">
        <w:t xml:space="preserve">– 14B parameters) </w:t>
      </w:r>
      <w:r w:rsidR="002C1E4E">
        <w:t>and large</w:t>
      </w:r>
      <w:r w:rsidR="00605407">
        <w:t xml:space="preserve"> (100B parameters or more)</w:t>
      </w:r>
      <w:r w:rsidR="002C1E4E">
        <w:t>.</w:t>
      </w:r>
    </w:p>
    <w:p w14:paraId="7A7396D0" w14:textId="77777777" w:rsidR="00605407" w:rsidRDefault="00605407" w:rsidP="00605407">
      <w:pPr>
        <w:pStyle w:val="bulletlist"/>
      </w:pPr>
      <w:r>
        <w:t xml:space="preserve">Tiny: </w:t>
      </w:r>
      <w:r>
        <w:t>qwen2.5-0.5b</w:t>
      </w:r>
      <w:r>
        <w:t xml:space="preserve">, </w:t>
      </w:r>
      <w:r>
        <w:t>deepseek-r1-1.5b</w:t>
      </w:r>
      <w:r>
        <w:t xml:space="preserve">, </w:t>
      </w:r>
      <w:r>
        <w:t>qwen2.5-1.5b</w:t>
      </w:r>
      <w:r>
        <w:t xml:space="preserve">, </w:t>
      </w:r>
      <w:r>
        <w:t>gemma3-1b</w:t>
      </w:r>
      <w:r>
        <w:t xml:space="preserve">, </w:t>
      </w:r>
      <w:r>
        <w:t>gemma2-2b</w:t>
      </w:r>
      <w:r>
        <w:t>.</w:t>
      </w:r>
    </w:p>
    <w:p w14:paraId="1FAB7E5A" w14:textId="0261BBF0" w:rsidR="00605407" w:rsidRDefault="00605407" w:rsidP="00605407">
      <w:pPr>
        <w:pStyle w:val="bulletlist"/>
      </w:pPr>
      <w:r>
        <w:lastRenderedPageBreak/>
        <w:t xml:space="preserve">Small: </w:t>
      </w:r>
      <w:r>
        <w:t>llama3.2-3</w:t>
      </w:r>
      <w:r>
        <w:t xml:space="preserve">b, </w:t>
      </w:r>
      <w:r>
        <w:t>llama2-7b</w:t>
      </w:r>
      <w:r>
        <w:t>.</w:t>
      </w:r>
    </w:p>
    <w:p w14:paraId="6C6D146E" w14:textId="0A65E527" w:rsidR="00605407" w:rsidRDefault="00605407" w:rsidP="00605407">
      <w:pPr>
        <w:pStyle w:val="bulletlist"/>
      </w:pPr>
      <w:r>
        <w:t xml:space="preserve">Medium: </w:t>
      </w:r>
      <w:r>
        <w:t>gemma3-12b</w:t>
      </w:r>
      <w:r>
        <w:t xml:space="preserve">, </w:t>
      </w:r>
      <w:r>
        <w:t>deepseek-r1-14b</w:t>
      </w:r>
    </w:p>
    <w:p w14:paraId="45C3A6BB" w14:textId="187915D4" w:rsidR="00BB656A" w:rsidRDefault="00605407" w:rsidP="00BB656A">
      <w:pPr>
        <w:pStyle w:val="bulletlist"/>
      </w:pPr>
      <w:r>
        <w:t>Large: GPT</w:t>
      </w:r>
      <w:r w:rsidRPr="00605407">
        <w:t>-4o-mini</w:t>
      </w:r>
    </w:p>
    <w:p w14:paraId="17A9532B" w14:textId="77777777" w:rsidR="009303D9" w:rsidRPr="005B520E" w:rsidRDefault="009303D9" w:rsidP="00ED0149">
      <w:pPr>
        <w:pStyle w:val="Heading2"/>
      </w:pPr>
      <w:r w:rsidRPr="005B520E">
        <w:t>Maintaining the Integrity of the Specifications</w:t>
      </w:r>
    </w:p>
    <w:p w14:paraId="4E992BC6"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65313B9F" w14:textId="77777777" w:rsidR="009303D9" w:rsidRDefault="009303D9" w:rsidP="006B6B66">
      <w:pPr>
        <w:pStyle w:val="Heading1"/>
      </w:pPr>
      <w:r>
        <w:t xml:space="preserve">Prepare Your Paper </w:t>
      </w:r>
      <w:r w:rsidRPr="005B520E">
        <w:t>Before</w:t>
      </w:r>
      <w:r>
        <w:t xml:space="preserve"> Styling</w:t>
      </w:r>
    </w:p>
    <w:p w14:paraId="2CC923C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3B6F0534"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D27694B" w14:textId="77777777" w:rsidR="009303D9" w:rsidRDefault="009303D9" w:rsidP="00ED0149">
      <w:pPr>
        <w:pStyle w:val="Heading2"/>
      </w:pPr>
      <w:r w:rsidRPr="00ED0149">
        <w:t>Abbreviations</w:t>
      </w:r>
      <w:r>
        <w:t xml:space="preserve"> and Acronyms</w:t>
      </w:r>
    </w:p>
    <w:p w14:paraId="5BFF2E12"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679761D9" w14:textId="77777777" w:rsidR="009303D9" w:rsidRDefault="009303D9" w:rsidP="00ED0149">
      <w:pPr>
        <w:pStyle w:val="Heading2"/>
      </w:pPr>
      <w:r>
        <w:t>Units</w:t>
      </w:r>
    </w:p>
    <w:p w14:paraId="35919E98"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E7E021D"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3323E4A8"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0307DDDF"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FD76982" w14:textId="77777777" w:rsidR="009303D9" w:rsidRPr="005B520E" w:rsidRDefault="009303D9" w:rsidP="00ED0149">
      <w:pPr>
        <w:pStyle w:val="Heading2"/>
      </w:pPr>
      <w:r w:rsidRPr="005B520E">
        <w:t>Equations</w:t>
      </w:r>
    </w:p>
    <w:p w14:paraId="65F79497" w14:textId="77777777" w:rsidR="009303D9" w:rsidRPr="005B520E" w:rsidRDefault="009303D9" w:rsidP="00E7596C">
      <w:pPr>
        <w:pStyle w:val="BodyText"/>
      </w:pPr>
      <w:r w:rsidRPr="005B520E">
        <w:t xml:space="preserve">The equations are an exception to the prescribed specifications of this template. You will need to determine whether or not your equation should be typed using either the Times New Roman or the Symbol font (please no other font). </w:t>
      </w:r>
      <w:r w:rsidRPr="005B520E">
        <w:t>To create multileveled equations, it may be necessary to treat the equation as a graphic and insert it into the text after your paper is styled.</w:t>
      </w:r>
    </w:p>
    <w:p w14:paraId="660C5911"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02C1D6D1"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15ACA2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309CC73" w14:textId="77777777" w:rsidR="009303D9" w:rsidRDefault="009303D9" w:rsidP="00ED0149">
      <w:pPr>
        <w:pStyle w:val="Heading2"/>
      </w:pPr>
      <w:r>
        <w:t>Some Common Mistakes</w:t>
      </w:r>
    </w:p>
    <w:p w14:paraId="59F554E8" w14:textId="77777777" w:rsidR="009303D9" w:rsidRPr="005B520E" w:rsidRDefault="009303D9" w:rsidP="00E7596C">
      <w:pPr>
        <w:pStyle w:val="bulletlist"/>
      </w:pPr>
      <w:r w:rsidRPr="005B520E">
        <w:t>The word “data” is plural, not singular.</w:t>
      </w:r>
    </w:p>
    <w:p w14:paraId="33C72F4F"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B6EBA2B"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1E906F8"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3BD41F8" w14:textId="77777777" w:rsidR="009303D9" w:rsidRPr="005B520E" w:rsidRDefault="009303D9" w:rsidP="00E7596C">
      <w:pPr>
        <w:pStyle w:val="bulletlist"/>
      </w:pPr>
      <w:r w:rsidRPr="005B520E">
        <w:t>Do not use the word “essentially” to mean “approximately” or “effectively”.</w:t>
      </w:r>
    </w:p>
    <w:p w14:paraId="4E9893D2"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E6BB921"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5A9F8AA" w14:textId="77777777" w:rsidR="009303D9" w:rsidRPr="005B520E" w:rsidRDefault="009303D9" w:rsidP="00E7596C">
      <w:pPr>
        <w:pStyle w:val="bulletlist"/>
      </w:pPr>
      <w:r w:rsidRPr="005B520E">
        <w:t>Do not confuse “imply” and “infer”.</w:t>
      </w:r>
    </w:p>
    <w:p w14:paraId="34B544C9" w14:textId="77777777" w:rsidR="009303D9" w:rsidRPr="005B520E" w:rsidRDefault="009303D9" w:rsidP="00E7596C">
      <w:pPr>
        <w:pStyle w:val="bulletlist"/>
      </w:pPr>
      <w:r w:rsidRPr="005B520E">
        <w:t>The prefix “non” is not a word; it should be joined to the word it modifies, usually without a hyphen.</w:t>
      </w:r>
    </w:p>
    <w:p w14:paraId="291CA13F" w14:textId="77777777" w:rsidR="009303D9" w:rsidRPr="005B520E" w:rsidRDefault="009303D9" w:rsidP="00E7596C">
      <w:pPr>
        <w:pStyle w:val="bulletlist"/>
      </w:pPr>
      <w:r w:rsidRPr="005B520E">
        <w:t>There is no period after the “et” in the Latin abbreviation “et al.”.</w:t>
      </w:r>
    </w:p>
    <w:p w14:paraId="4A62B9A4" w14:textId="77777777" w:rsidR="009303D9" w:rsidRPr="005B520E" w:rsidRDefault="009303D9" w:rsidP="00E7596C">
      <w:pPr>
        <w:pStyle w:val="bulletlist"/>
      </w:pPr>
      <w:r w:rsidRPr="005B520E">
        <w:t>The abbreviation “i.e.” means “that is”, and the abbreviation “e.g.” means “for example”.</w:t>
      </w:r>
    </w:p>
    <w:p w14:paraId="4878948E" w14:textId="77777777" w:rsidR="009303D9" w:rsidRPr="005B520E" w:rsidRDefault="009303D9" w:rsidP="00E7596C">
      <w:pPr>
        <w:pStyle w:val="BodyText"/>
      </w:pPr>
      <w:r w:rsidRPr="005B520E">
        <w:lastRenderedPageBreak/>
        <w:t>An excellent style manual for science writers is [7].</w:t>
      </w:r>
    </w:p>
    <w:p w14:paraId="54E7EC78" w14:textId="77777777" w:rsidR="009303D9" w:rsidRDefault="009303D9" w:rsidP="006B6B66">
      <w:pPr>
        <w:pStyle w:val="Heading1"/>
      </w:pPr>
      <w:r>
        <w:t xml:space="preserve">Using the </w:t>
      </w:r>
      <w:r w:rsidRPr="005B520E">
        <w:t>Template</w:t>
      </w:r>
    </w:p>
    <w:p w14:paraId="60678C1C"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F770A2D" w14:textId="77777777" w:rsidR="009303D9" w:rsidRDefault="009303D9" w:rsidP="00ED0149">
      <w:pPr>
        <w:pStyle w:val="Heading2"/>
      </w:pPr>
      <w:r w:rsidRPr="005B520E">
        <w:t>Authors</w:t>
      </w:r>
      <w:r>
        <w:t xml:space="preserve"> and Affiliations</w:t>
      </w:r>
    </w:p>
    <w:p w14:paraId="14CE51CB"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A248C85"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772FB7DC"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CAD6230"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29CC19A"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BBF5A7"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FCBF72A" w14:textId="77777777" w:rsidR="006F6D3D" w:rsidRDefault="006F6D3D" w:rsidP="006F6D3D">
      <w:pPr>
        <w:jc w:val="start"/>
        <w:rPr>
          <w:i/>
          <w:iCs/>
          <w:noProof/>
        </w:rPr>
      </w:pPr>
    </w:p>
    <w:p w14:paraId="3ED5C486" w14:textId="77777777" w:rsidR="009303D9" w:rsidRDefault="009303D9" w:rsidP="00ED0149">
      <w:pPr>
        <w:pStyle w:val="Heading2"/>
      </w:pPr>
      <w:r w:rsidRPr="005B520E">
        <w:t>Identify</w:t>
      </w:r>
      <w:r>
        <w:t xml:space="preserve"> the Headings</w:t>
      </w:r>
    </w:p>
    <w:p w14:paraId="29E1205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CA2BDBD"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A55D978"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A84BA51" w14:textId="77777777" w:rsidR="009303D9" w:rsidRDefault="009303D9" w:rsidP="00ED0149">
      <w:pPr>
        <w:pStyle w:val="Heading2"/>
      </w:pPr>
      <w:r>
        <w:t>Figures and Tables</w:t>
      </w:r>
    </w:p>
    <w:p w14:paraId="30EC9A95"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FF301D8"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278A9EF" w14:textId="77777777">
        <w:trPr>
          <w:cantSplit/>
          <w:trHeight w:val="240"/>
          <w:tblHeader/>
          <w:jc w:val="center"/>
        </w:trPr>
        <w:tc>
          <w:tcPr>
            <w:tcW w:w="36pt" w:type="dxa"/>
            <w:vMerge w:val="restart"/>
            <w:vAlign w:val="center"/>
          </w:tcPr>
          <w:p w14:paraId="289AB2C2" w14:textId="77777777" w:rsidR="009303D9" w:rsidRDefault="009303D9">
            <w:pPr>
              <w:pStyle w:val="tablecolhead"/>
            </w:pPr>
            <w:r>
              <w:t>Table Head</w:t>
            </w:r>
          </w:p>
        </w:tc>
        <w:tc>
          <w:tcPr>
            <w:tcW w:w="207pt" w:type="dxa"/>
            <w:gridSpan w:val="3"/>
            <w:vAlign w:val="center"/>
          </w:tcPr>
          <w:p w14:paraId="51C8768C" w14:textId="77777777" w:rsidR="009303D9" w:rsidRDefault="009303D9">
            <w:pPr>
              <w:pStyle w:val="tablecolhead"/>
            </w:pPr>
            <w:r>
              <w:t>Table Column Head</w:t>
            </w:r>
          </w:p>
        </w:tc>
      </w:tr>
      <w:tr w:rsidR="009303D9" w14:paraId="6C4244AA" w14:textId="77777777">
        <w:trPr>
          <w:cantSplit/>
          <w:trHeight w:val="240"/>
          <w:tblHeader/>
          <w:jc w:val="center"/>
        </w:trPr>
        <w:tc>
          <w:tcPr>
            <w:tcW w:w="36pt" w:type="dxa"/>
            <w:vMerge/>
          </w:tcPr>
          <w:p w14:paraId="3A1BFDD5" w14:textId="77777777" w:rsidR="009303D9" w:rsidRDefault="009303D9">
            <w:pPr>
              <w:rPr>
                <w:sz w:val="16"/>
                <w:szCs w:val="16"/>
              </w:rPr>
            </w:pPr>
          </w:p>
        </w:tc>
        <w:tc>
          <w:tcPr>
            <w:tcW w:w="117pt" w:type="dxa"/>
            <w:vAlign w:val="center"/>
          </w:tcPr>
          <w:p w14:paraId="5EE59D35" w14:textId="77777777" w:rsidR="009303D9" w:rsidRDefault="009303D9">
            <w:pPr>
              <w:pStyle w:val="tablecolsubhead"/>
            </w:pPr>
            <w:r>
              <w:t>Table column subhead</w:t>
            </w:r>
          </w:p>
        </w:tc>
        <w:tc>
          <w:tcPr>
            <w:tcW w:w="45pt" w:type="dxa"/>
            <w:vAlign w:val="center"/>
          </w:tcPr>
          <w:p w14:paraId="29CCE960" w14:textId="77777777" w:rsidR="009303D9" w:rsidRDefault="009303D9">
            <w:pPr>
              <w:pStyle w:val="tablecolsubhead"/>
            </w:pPr>
            <w:r>
              <w:t>Subhead</w:t>
            </w:r>
          </w:p>
        </w:tc>
        <w:tc>
          <w:tcPr>
            <w:tcW w:w="45pt" w:type="dxa"/>
            <w:vAlign w:val="center"/>
          </w:tcPr>
          <w:p w14:paraId="3521C9AA" w14:textId="77777777" w:rsidR="009303D9" w:rsidRDefault="009303D9">
            <w:pPr>
              <w:pStyle w:val="tablecolsubhead"/>
            </w:pPr>
            <w:r>
              <w:t>Subhead</w:t>
            </w:r>
          </w:p>
        </w:tc>
      </w:tr>
      <w:tr w:rsidR="009303D9" w14:paraId="2694D18A" w14:textId="77777777">
        <w:trPr>
          <w:trHeight w:val="320"/>
          <w:jc w:val="center"/>
        </w:trPr>
        <w:tc>
          <w:tcPr>
            <w:tcW w:w="36pt" w:type="dxa"/>
            <w:vAlign w:val="center"/>
          </w:tcPr>
          <w:p w14:paraId="455119A8" w14:textId="77777777" w:rsidR="009303D9" w:rsidRDefault="009303D9">
            <w:pPr>
              <w:pStyle w:val="tablecopy"/>
              <w:rPr>
                <w:sz w:val="8"/>
                <w:szCs w:val="8"/>
              </w:rPr>
            </w:pPr>
            <w:r>
              <w:t>copy</w:t>
            </w:r>
          </w:p>
        </w:tc>
        <w:tc>
          <w:tcPr>
            <w:tcW w:w="117pt" w:type="dxa"/>
            <w:vAlign w:val="center"/>
          </w:tcPr>
          <w:p w14:paraId="53520B16" w14:textId="77777777" w:rsidR="009303D9" w:rsidRDefault="009303D9">
            <w:pPr>
              <w:pStyle w:val="tablecopy"/>
            </w:pPr>
            <w:r>
              <w:t>More table copy</w:t>
            </w:r>
            <w:r>
              <w:rPr>
                <w:vertAlign w:val="superscript"/>
              </w:rPr>
              <w:t>a</w:t>
            </w:r>
          </w:p>
        </w:tc>
        <w:tc>
          <w:tcPr>
            <w:tcW w:w="45pt" w:type="dxa"/>
            <w:vAlign w:val="center"/>
          </w:tcPr>
          <w:p w14:paraId="0D8028A8" w14:textId="77777777" w:rsidR="009303D9" w:rsidRDefault="009303D9">
            <w:pPr>
              <w:rPr>
                <w:sz w:val="16"/>
                <w:szCs w:val="16"/>
              </w:rPr>
            </w:pPr>
          </w:p>
        </w:tc>
        <w:tc>
          <w:tcPr>
            <w:tcW w:w="45pt" w:type="dxa"/>
            <w:vAlign w:val="center"/>
          </w:tcPr>
          <w:p w14:paraId="08A46A75" w14:textId="77777777" w:rsidR="009303D9" w:rsidRDefault="009303D9">
            <w:pPr>
              <w:rPr>
                <w:sz w:val="16"/>
                <w:szCs w:val="16"/>
              </w:rPr>
            </w:pPr>
          </w:p>
        </w:tc>
      </w:tr>
    </w:tbl>
    <w:p w14:paraId="3637561A"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381BB491" wp14:editId="19EAE509">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72C3C5A"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7140F81"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03EEFB6A"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22FCE6E"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0EF8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C7060F5"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7E448512" w14:textId="77777777" w:rsidR="009303D9" w:rsidRDefault="009303D9" w:rsidP="00A059B3">
      <w:pPr>
        <w:pStyle w:val="Heading5"/>
      </w:pPr>
      <w:r w:rsidRPr="005B520E">
        <w:t>References</w:t>
      </w:r>
    </w:p>
    <w:p w14:paraId="25B1FD4D"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84F2CE5"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07A1054"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published, even if they have been submitted for publication, should be cited as </w:t>
      </w:r>
      <w:r w:rsidRPr="005B520E">
        <w:lastRenderedPageBreak/>
        <w:t>“unpublished” [4]. Papers that have been accepted for publication should be cited as “in press” [5]. Capitalize only the first word in a paper title, except for proper nouns and element symbols.</w:t>
      </w:r>
    </w:p>
    <w:p w14:paraId="75D136C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62EC548" w14:textId="77777777" w:rsidR="009303D9" w:rsidRPr="005B520E" w:rsidRDefault="009303D9"/>
    <w:p w14:paraId="7B535177"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6693B3D" w14:textId="77777777" w:rsidR="009303D9" w:rsidRDefault="009303D9" w:rsidP="0004781E">
      <w:pPr>
        <w:pStyle w:val="references"/>
        <w:ind w:start="17.70pt" w:hanging="17.70pt"/>
      </w:pPr>
      <w:r>
        <w:t>J. Clerk Maxwell, A Treatise on Electricity and Magnetism, 3rd ed., vol. 2. Oxford: Clarendon, 1892, pp.68–73.</w:t>
      </w:r>
    </w:p>
    <w:p w14:paraId="4E127A7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35F1D365" w14:textId="77777777" w:rsidR="009303D9" w:rsidRDefault="009303D9" w:rsidP="0004781E">
      <w:pPr>
        <w:pStyle w:val="references"/>
        <w:ind w:start="17.70pt" w:hanging="17.70pt"/>
      </w:pPr>
      <w:r>
        <w:t>K. Elissa, “Title of paper if known,” unpublished.</w:t>
      </w:r>
    </w:p>
    <w:p w14:paraId="19479632" w14:textId="77777777" w:rsidR="009303D9" w:rsidRDefault="009303D9" w:rsidP="0004781E">
      <w:pPr>
        <w:pStyle w:val="references"/>
        <w:ind w:start="17.70pt" w:hanging="17.70pt"/>
      </w:pPr>
      <w:r>
        <w:t>R. Nicole, “Title of paper with only first word capitalized,” J. Name Stand. Abbrev., in press.</w:t>
      </w:r>
    </w:p>
    <w:p w14:paraId="6A59C119" w14:textId="77777777" w:rsidR="009303D9" w:rsidRDefault="009303D9" w:rsidP="0004781E">
      <w:pPr>
        <w:pStyle w:val="references"/>
        <w:ind w:start="17.70pt" w:hanging="17.70pt"/>
      </w:pPr>
      <w:r>
        <w:t xml:space="preserve">Y. Yorozu, M. Hirano, K. Oka, and Y. Tagawa, “Electron spectroscopy studies on magneto-optical media and plastic substrate interface,” IEEE </w:t>
      </w:r>
      <w:r>
        <w:t>Transl. J. Magn. Japan, vol. 2, pp. 740–741, August 1987 [Digests 9th Annual Conf. Magnetics Japan, p. 301, 1982].</w:t>
      </w:r>
    </w:p>
    <w:p w14:paraId="03CAF9EC" w14:textId="77777777" w:rsidR="00156B74" w:rsidRDefault="009303D9" w:rsidP="00156B74">
      <w:pPr>
        <w:pStyle w:val="references"/>
        <w:ind w:start="17.70pt" w:hanging="17.70pt"/>
      </w:pPr>
      <w:r>
        <w:t>M. Young, The Technical Writer</w:t>
      </w:r>
      <w:r w:rsidR="00E7596C">
        <w:t>’</w:t>
      </w:r>
      <w:r>
        <w:t>s Handbook. Mill Valley, CA: University Science, 1989.</w:t>
      </w:r>
    </w:p>
    <w:p w14:paraId="095CD6D1" w14:textId="77777777" w:rsidR="00156B74" w:rsidRPr="00156B74" w:rsidRDefault="00156B74" w:rsidP="00156B74">
      <w:pPr>
        <w:pStyle w:val="references"/>
        <w:ind w:start="17.70pt" w:hanging="17.70pt"/>
        <w:rPr>
          <w:rFonts w:ascii="NimbusRomNo9L-Regu" w:eastAsia="NimbusRomNo9L-Regu" w:cs="NimbusRomNo9L-Regu"/>
        </w:rPr>
      </w:pPr>
      <w:r w:rsidRPr="00156B74">
        <w:rPr>
          <w:rFonts w:ascii="NimbusRomNo9L-Regu" w:eastAsia="NimbusRomNo9L-Regu" w:cs="NimbusRomNo9L-Regu"/>
        </w:rPr>
        <w:t xml:space="preserve"> </w:t>
      </w: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11" w:history="1">
        <w:r w:rsidRPr="00156B74">
          <w:t>https://codeocean.com/capsule/4989235/tree</w:t>
        </w:r>
      </w:hyperlink>
      <w:r>
        <w:t xml:space="preserve"> </w:t>
      </w:r>
    </w:p>
    <w:p w14:paraId="02A693BF" w14:textId="77777777" w:rsidR="00156B74" w:rsidRDefault="00156B74" w:rsidP="00156B74">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2" w:history="1">
        <w:r w:rsidRPr="00156B74">
          <w:t>https://arxiv.org/abs/1312.6114</w:t>
        </w:r>
      </w:hyperlink>
    </w:p>
    <w:p w14:paraId="2E399E5B" w14:textId="78F18DC4" w:rsidR="00156B74" w:rsidRDefault="00156B74" w:rsidP="00156B74">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3B8DFCE8" w14:textId="7921C274" w:rsidR="00156B74" w:rsidRPr="00156B74" w:rsidRDefault="00156B74" w:rsidP="00156B74">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2A5DE92A"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FC6C90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3C11727D" w14:textId="77777777" w:rsidR="00EA269E" w:rsidRDefault="00EA269E" w:rsidP="001A3B3D">
      <w:r>
        <w:separator/>
      </w:r>
    </w:p>
  </w:endnote>
  <w:endnote w:type="continuationSeparator" w:id="0">
    <w:p w14:paraId="3EC66935" w14:textId="77777777" w:rsidR="00EA269E" w:rsidRDefault="00EA269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20B0604020202020204"/>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2E5EF872" w14:textId="77777777" w:rsidR="00EA269E" w:rsidRDefault="00EA269E" w:rsidP="001A3B3D">
      <w:r>
        <w:separator/>
      </w:r>
    </w:p>
  </w:footnote>
  <w:footnote w:type="continuationSeparator" w:id="0">
    <w:p w14:paraId="74AE938F" w14:textId="77777777" w:rsidR="00EA269E" w:rsidRDefault="00EA269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0377641">
    <w:abstractNumId w:val="14"/>
  </w:num>
  <w:num w:numId="2" w16cid:durableId="1397439891">
    <w:abstractNumId w:val="19"/>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0"/>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224DE"/>
    <w:rsid w:val="0015079E"/>
    <w:rsid w:val="00156B74"/>
    <w:rsid w:val="001A2EFD"/>
    <w:rsid w:val="001A3B3D"/>
    <w:rsid w:val="001A42EA"/>
    <w:rsid w:val="001B67DC"/>
    <w:rsid w:val="001D7BCF"/>
    <w:rsid w:val="002254A9"/>
    <w:rsid w:val="00233D97"/>
    <w:rsid w:val="00251D41"/>
    <w:rsid w:val="002850E3"/>
    <w:rsid w:val="002C1E4E"/>
    <w:rsid w:val="00354FCF"/>
    <w:rsid w:val="003940CF"/>
    <w:rsid w:val="003A19E2"/>
    <w:rsid w:val="0042137C"/>
    <w:rsid w:val="00421EC6"/>
    <w:rsid w:val="004325FB"/>
    <w:rsid w:val="004432BA"/>
    <w:rsid w:val="0044407E"/>
    <w:rsid w:val="004A3C22"/>
    <w:rsid w:val="004D72B5"/>
    <w:rsid w:val="0054052C"/>
    <w:rsid w:val="00547E73"/>
    <w:rsid w:val="00551B7F"/>
    <w:rsid w:val="0056610F"/>
    <w:rsid w:val="00575BCA"/>
    <w:rsid w:val="005B0344"/>
    <w:rsid w:val="005B520E"/>
    <w:rsid w:val="005E2800"/>
    <w:rsid w:val="00605407"/>
    <w:rsid w:val="006347CF"/>
    <w:rsid w:val="00645D22"/>
    <w:rsid w:val="00651A08"/>
    <w:rsid w:val="00654204"/>
    <w:rsid w:val="00670434"/>
    <w:rsid w:val="006B6B66"/>
    <w:rsid w:val="006D335D"/>
    <w:rsid w:val="006E3FA5"/>
    <w:rsid w:val="006F6D3D"/>
    <w:rsid w:val="00704134"/>
    <w:rsid w:val="00715BEA"/>
    <w:rsid w:val="007257F3"/>
    <w:rsid w:val="00740EEA"/>
    <w:rsid w:val="00794804"/>
    <w:rsid w:val="007A4CB1"/>
    <w:rsid w:val="007A6ED1"/>
    <w:rsid w:val="007B33F1"/>
    <w:rsid w:val="007C0308"/>
    <w:rsid w:val="007C2FF2"/>
    <w:rsid w:val="007D6232"/>
    <w:rsid w:val="007F1F99"/>
    <w:rsid w:val="007F768F"/>
    <w:rsid w:val="0080791D"/>
    <w:rsid w:val="00873603"/>
    <w:rsid w:val="008A2C7D"/>
    <w:rsid w:val="008C1302"/>
    <w:rsid w:val="008C4B23"/>
    <w:rsid w:val="008F6E2C"/>
    <w:rsid w:val="009303D9"/>
    <w:rsid w:val="00933C64"/>
    <w:rsid w:val="00972203"/>
    <w:rsid w:val="00987CF0"/>
    <w:rsid w:val="00A059B3"/>
    <w:rsid w:val="00A83751"/>
    <w:rsid w:val="00AE3409"/>
    <w:rsid w:val="00B11A60"/>
    <w:rsid w:val="00B2245B"/>
    <w:rsid w:val="00B22613"/>
    <w:rsid w:val="00B4367D"/>
    <w:rsid w:val="00B50DFA"/>
    <w:rsid w:val="00B6644C"/>
    <w:rsid w:val="00B97A31"/>
    <w:rsid w:val="00BA1025"/>
    <w:rsid w:val="00BA77C1"/>
    <w:rsid w:val="00BB656A"/>
    <w:rsid w:val="00BC3420"/>
    <w:rsid w:val="00BE7D3C"/>
    <w:rsid w:val="00BF5FF6"/>
    <w:rsid w:val="00C0207F"/>
    <w:rsid w:val="00C16117"/>
    <w:rsid w:val="00C3075A"/>
    <w:rsid w:val="00C76FFC"/>
    <w:rsid w:val="00C919A4"/>
    <w:rsid w:val="00CA4392"/>
    <w:rsid w:val="00CC393F"/>
    <w:rsid w:val="00D13749"/>
    <w:rsid w:val="00D2176E"/>
    <w:rsid w:val="00D27CC0"/>
    <w:rsid w:val="00D632BE"/>
    <w:rsid w:val="00D72D06"/>
    <w:rsid w:val="00D7522C"/>
    <w:rsid w:val="00D7536F"/>
    <w:rsid w:val="00D76668"/>
    <w:rsid w:val="00DD5BFD"/>
    <w:rsid w:val="00E61E12"/>
    <w:rsid w:val="00E7596C"/>
    <w:rsid w:val="00E878F2"/>
    <w:rsid w:val="00EA269E"/>
    <w:rsid w:val="00ED0149"/>
    <w:rsid w:val="00EF7DE3"/>
    <w:rsid w:val="00F03103"/>
    <w:rsid w:val="00F12284"/>
    <w:rsid w:val="00F271DE"/>
    <w:rsid w:val="00F627DA"/>
    <w:rsid w:val="00F7288F"/>
    <w:rsid w:val="00F847A6"/>
    <w:rsid w:val="00F9441B"/>
    <w:rsid w:val="00F96569"/>
    <w:rsid w:val="00FA4C32"/>
    <w:rsid w:val="00FE7114"/>
    <w:rsid w:val="00FF0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table" w:styleId="TableGrid">
    <w:name w:val="Table Grid"/>
    <w:basedOn w:val="TableNormal"/>
    <w:rsid w:val="007A4CB1"/>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1224DE"/>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18150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75809841">
          <w:marLeft w:val="0pt"/>
          <w:marRight w:val="0pt"/>
          <w:marTop w:val="0pt"/>
          <w:marBottom w:val="0pt"/>
          <w:divBdr>
            <w:top w:val="none" w:sz="0" w:space="0" w:color="auto"/>
            <w:left w:val="none" w:sz="0" w:space="0" w:color="auto"/>
            <w:bottom w:val="none" w:sz="0" w:space="0" w:color="auto"/>
            <w:right w:val="none" w:sz="0" w:space="0" w:color="auto"/>
          </w:divBdr>
          <w:divsChild>
            <w:div w:id="86922511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2023871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arxiv.org/abs/1312.6114"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codeocean.com/capsule/4989235/tree" TargetMode="External"/><Relationship Id="rId5" Type="http://purl.oclc.org/ooxml/officeDocument/relationships/webSettings" Target="webSettings.xml"/><Relationship Id="rId10" Type="http://purl.oclc.org/ooxml/officeDocument/relationships/hyperlink" Target="https://arxiv.org/abs/2302.08091" TargetMode="External"/><Relationship Id="rId4" Type="http://purl.oclc.org/ooxml/officeDocument/relationships/settings" Target="settings.xml"/><Relationship Id="rId9" Type="http://purl.oclc.org/ooxml/officeDocument/relationships/hyperlink" Target="https://arxiv.org/abs/1706.03762" TargetMode="External"/><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file>

<file path=customXml/itemProps1.xml><?xml version="1.0" encoding="utf-8"?>
<ds:datastoreItem xmlns:ds="http://purl.oclc.org/ooxml/officeDocument/customXml" ds:itemID="{ACC27FB3-BAA5-314E-82D0-B00ED442EABD}">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92</TotalTime>
  <Pages>4</Pages>
  <Words>2612</Words>
  <Characters>14895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Andrade, Thiago</cp:lastModifiedBy>
  <cp:revision>22</cp:revision>
  <dcterms:created xsi:type="dcterms:W3CDTF">2024-07-16T13:39:00Z</dcterms:created>
  <dcterms:modified xsi:type="dcterms:W3CDTF">2025-04-01T04:14:00Z</dcterms:modified>
</cp:coreProperties>
</file>